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3F5EFF">
        <w:rPr>
          <w:rFonts w:ascii="Times New Roman" w:hAnsi="Times New Roman" w:cs="Times New Roman"/>
          <w:sz w:val="24"/>
          <w:szCs w:val="24"/>
        </w:rPr>
        <w:t>40</w:t>
      </w:r>
      <w:r>
        <w:rPr>
          <w:rFonts w:ascii="Times New Roman" w:hAnsi="Times New Roman" w:cs="Times New Roman"/>
          <w:sz w:val="24"/>
          <w:szCs w:val="24"/>
        </w:rPr>
        <w:t xml:space="preserve"> от </w:t>
      </w:r>
      <w:r w:rsidR="003F5EFF">
        <w:rPr>
          <w:rFonts w:ascii="Times New Roman" w:hAnsi="Times New Roman" w:cs="Times New Roman"/>
          <w:sz w:val="24"/>
          <w:szCs w:val="24"/>
        </w:rPr>
        <w:t>19.12</w:t>
      </w:r>
      <w:r>
        <w:rPr>
          <w:rFonts w:ascii="Times New Roman" w:hAnsi="Times New Roman" w:cs="Times New Roman"/>
          <w:sz w:val="24"/>
          <w:szCs w:val="24"/>
        </w:rPr>
        <w:t>.2019 г.</w:t>
      </w:r>
    </w:p>
    <w:p w:rsidR="00983A84" w:rsidRPr="000A200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0A2004">
        <w:rPr>
          <w:rFonts w:ascii="Times New Roman" w:hAnsi="Times New Roman" w:cs="Times New Roman"/>
          <w:bCs/>
          <w:sz w:val="24"/>
          <w:szCs w:val="24"/>
          <w:lang w:eastAsia="ru-RU"/>
        </w:rPr>
        <w:t>фиброгастроскопа</w:t>
      </w:r>
      <w:proofErr w:type="spellEnd"/>
      <w:r w:rsidR="000A2004">
        <w:rPr>
          <w:rFonts w:ascii="Times New Roman" w:hAnsi="Times New Roman" w:cs="Times New Roman"/>
          <w:bCs/>
          <w:sz w:val="24"/>
          <w:szCs w:val="24"/>
          <w:lang w:eastAsia="ru-RU"/>
        </w:rPr>
        <w:t xml:space="preserve"> </w:t>
      </w:r>
      <w:r w:rsidR="000A2004">
        <w:rPr>
          <w:rFonts w:ascii="Times New Roman" w:hAnsi="Times New Roman" w:cs="Times New Roman"/>
          <w:bCs/>
          <w:sz w:val="24"/>
          <w:szCs w:val="24"/>
          <w:lang w:val="en-US" w:eastAsia="ru-RU"/>
        </w:rPr>
        <w:t>FG</w:t>
      </w:r>
      <w:r w:rsidR="000A2004" w:rsidRPr="000A2004">
        <w:rPr>
          <w:rFonts w:ascii="Times New Roman" w:hAnsi="Times New Roman" w:cs="Times New Roman"/>
          <w:bCs/>
          <w:sz w:val="24"/>
          <w:szCs w:val="24"/>
          <w:lang w:eastAsia="ru-RU"/>
        </w:rPr>
        <w:t>-29</w:t>
      </w:r>
      <w:r w:rsidR="000A2004">
        <w:rPr>
          <w:rFonts w:ascii="Times New Roman" w:hAnsi="Times New Roman" w:cs="Times New Roman"/>
          <w:bCs/>
          <w:sz w:val="24"/>
          <w:szCs w:val="24"/>
          <w:lang w:val="en-US" w:eastAsia="ru-RU"/>
        </w:rPr>
        <w:t>V</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184DB6">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0A2004">
            <w:pPr>
              <w:pStyle w:val="Standard"/>
              <w:snapToGrid w:val="0"/>
              <w:spacing w:line="252" w:lineRule="auto"/>
              <w:rPr>
                <w:sz w:val="22"/>
                <w:szCs w:val="22"/>
                <w:lang w:eastAsia="en-US"/>
              </w:rPr>
            </w:pPr>
            <w:proofErr w:type="gramStart"/>
            <w:r>
              <w:t xml:space="preserve">Ремонт </w:t>
            </w:r>
            <w:proofErr w:type="spellStart"/>
            <w:r w:rsidR="000A2004">
              <w:rPr>
                <w:bCs/>
              </w:rPr>
              <w:t>фиброгастроскопа</w:t>
            </w:r>
            <w:proofErr w:type="spellEnd"/>
            <w:r w:rsidR="000A2004">
              <w:rPr>
                <w:bCs/>
              </w:rPr>
              <w:t xml:space="preserve"> </w:t>
            </w:r>
            <w:r w:rsidR="000A2004">
              <w:rPr>
                <w:bCs/>
                <w:lang w:val="en-US"/>
              </w:rPr>
              <w:t>FG</w:t>
            </w:r>
            <w:r w:rsidR="000A2004" w:rsidRPr="000A2004">
              <w:rPr>
                <w:bCs/>
              </w:rPr>
              <w:t>-29</w:t>
            </w:r>
            <w:r w:rsidR="000A2004">
              <w:rPr>
                <w:bCs/>
                <w:lang w:val="en-US"/>
              </w:rPr>
              <w:t>V</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184DB6">
              <w:rPr>
                <w:sz w:val="22"/>
                <w:szCs w:val="22"/>
                <w:lang w:eastAsia="ru-RU" w:bidi="ru-RU"/>
              </w:rPr>
              <w:t>ст</w:t>
            </w:r>
            <w:r>
              <w:rPr>
                <w:sz w:val="22"/>
                <w:szCs w:val="22"/>
                <w:lang w:eastAsia="ru-RU" w:bidi="ru-RU"/>
              </w:rPr>
              <w:t>у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0A2004" w:rsidRPr="000A2004">
              <w:rPr>
                <w:sz w:val="22"/>
                <w:szCs w:val="22"/>
                <w:lang w:eastAsia="ru-RU" w:bidi="ru-RU"/>
              </w:rPr>
              <w:t>320 000</w:t>
            </w:r>
            <w:r w:rsidR="00011A14" w:rsidRPr="00011A14">
              <w:rPr>
                <w:sz w:val="22"/>
                <w:szCs w:val="22"/>
                <w:lang w:eastAsia="ru-RU" w:bidi="ru-RU"/>
              </w:rPr>
              <w:t xml:space="preserve"> (</w:t>
            </w:r>
            <w:r w:rsidR="000A2004">
              <w:rPr>
                <w:sz w:val="22"/>
                <w:szCs w:val="22"/>
                <w:lang w:eastAsia="ru-RU" w:bidi="ru-RU"/>
              </w:rPr>
              <w:t>триста двадцать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Срок подачи заявок участников закупки составляет 15 (пятнадцать) календарных дней с момента размещения Извещения о закупке на официальном сайте Заказчика. Заявки в письменной форме подаются по адресу:</w:t>
            </w:r>
          </w:p>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 xml:space="preserve">Республика Коми, </w:t>
            </w:r>
            <w:proofErr w:type="gramStart"/>
            <w:r w:rsidRPr="00184DB6">
              <w:rPr>
                <w:color w:val="000000"/>
                <w:sz w:val="22"/>
                <w:szCs w:val="22"/>
                <w:lang w:eastAsia="ru-RU" w:bidi="ru-RU"/>
              </w:rPr>
              <w:t>г</w:t>
            </w:r>
            <w:proofErr w:type="gramEnd"/>
            <w:r w:rsidRPr="00184DB6">
              <w:rPr>
                <w:color w:val="000000"/>
                <w:sz w:val="22"/>
                <w:szCs w:val="22"/>
                <w:lang w:eastAsia="ru-RU" w:bidi="ru-RU"/>
              </w:rPr>
              <w:t>.</w:t>
            </w:r>
            <w:r w:rsidR="000A2004">
              <w:rPr>
                <w:color w:val="000000"/>
                <w:sz w:val="22"/>
                <w:szCs w:val="22"/>
                <w:lang w:eastAsia="ru-RU" w:bidi="ru-RU"/>
              </w:rPr>
              <w:t xml:space="preserve"> </w:t>
            </w:r>
            <w:r w:rsidRPr="00184DB6">
              <w:rPr>
                <w:color w:val="000000"/>
                <w:sz w:val="22"/>
                <w:szCs w:val="22"/>
                <w:lang w:eastAsia="ru-RU" w:bidi="ru-RU"/>
              </w:rPr>
              <w:t xml:space="preserve">Печора ул. Н. Островского, д. 35А </w:t>
            </w:r>
          </w:p>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 xml:space="preserve">с </w:t>
            </w:r>
            <w:r w:rsidR="003F5EFF">
              <w:rPr>
                <w:color w:val="000000"/>
                <w:sz w:val="22"/>
                <w:szCs w:val="22"/>
                <w:lang w:eastAsia="ru-RU" w:bidi="ru-RU"/>
              </w:rPr>
              <w:t>19.12.</w:t>
            </w:r>
            <w:r w:rsidRPr="00184DB6">
              <w:rPr>
                <w:color w:val="000000"/>
                <w:sz w:val="22"/>
                <w:szCs w:val="22"/>
                <w:lang w:eastAsia="ru-RU" w:bidi="ru-RU"/>
              </w:rPr>
              <w:t xml:space="preserve">2019 г. с 10 ч 30 мин. </w:t>
            </w:r>
          </w:p>
          <w:p w:rsidR="00E636CE" w:rsidRPr="00011A14" w:rsidRDefault="00184DB6" w:rsidP="00184DB6">
            <w:pPr>
              <w:spacing w:line="274" w:lineRule="exact"/>
              <w:jc w:val="both"/>
              <w:rPr>
                <w:color w:val="000000"/>
                <w:lang w:eastAsia="ru-RU" w:bidi="ru-RU"/>
              </w:rPr>
            </w:pPr>
            <w:r>
              <w:rPr>
                <w:color w:val="000000"/>
                <w:sz w:val="22"/>
                <w:szCs w:val="22"/>
                <w:lang w:eastAsia="ru-RU" w:bidi="ru-RU"/>
              </w:rPr>
              <w:t xml:space="preserve">по </w:t>
            </w:r>
            <w:r w:rsidR="003F5EFF">
              <w:rPr>
                <w:color w:val="000000"/>
                <w:sz w:val="22"/>
                <w:szCs w:val="22"/>
                <w:lang w:eastAsia="ru-RU" w:bidi="ru-RU"/>
              </w:rPr>
              <w:t>16.01</w:t>
            </w:r>
            <w:r>
              <w:rPr>
                <w:color w:val="000000"/>
                <w:sz w:val="22"/>
                <w:szCs w:val="22"/>
                <w:lang w:eastAsia="ru-RU" w:bidi="ru-RU"/>
              </w:rPr>
              <w:t>.20</w:t>
            </w:r>
            <w:r w:rsidR="003F5EFF">
              <w:rPr>
                <w:color w:val="000000"/>
                <w:sz w:val="22"/>
                <w:szCs w:val="22"/>
                <w:lang w:eastAsia="ru-RU" w:bidi="ru-RU"/>
              </w:rPr>
              <w:t>20</w:t>
            </w:r>
            <w:r>
              <w:rPr>
                <w:color w:val="000000"/>
                <w:sz w:val="22"/>
                <w:szCs w:val="22"/>
                <w:lang w:eastAsia="ru-RU" w:bidi="ru-RU"/>
              </w:rPr>
              <w:t xml:space="preserve"> г. до 10 ч 00 мин</w:t>
            </w:r>
            <w:r w:rsidR="00E636CE" w:rsidRPr="00011A14">
              <w:rPr>
                <w:color w:val="000000"/>
                <w:sz w:val="22"/>
                <w:szCs w:val="22"/>
                <w:lang w:eastAsia="ru-RU" w:bidi="ru-RU"/>
              </w:rPr>
              <w:t xml:space="preserve">.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 xml:space="preserve">Республика Коми, </w:t>
            </w:r>
            <w:proofErr w:type="gramStart"/>
            <w:r>
              <w:rPr>
                <w:color w:val="000000"/>
                <w:sz w:val="22"/>
                <w:szCs w:val="22"/>
                <w:lang w:eastAsia="ru-RU" w:bidi="ru-RU"/>
              </w:rPr>
              <w:t>г</w:t>
            </w:r>
            <w:proofErr w:type="gramEnd"/>
            <w:r>
              <w:rPr>
                <w:color w:val="000000"/>
                <w:sz w:val="22"/>
                <w:szCs w:val="22"/>
                <w:lang w:eastAsia="ru-RU" w:bidi="ru-RU"/>
              </w:rPr>
              <w:t>.</w:t>
            </w:r>
            <w:r w:rsidR="000A2004">
              <w:rPr>
                <w:color w:val="000000"/>
                <w:sz w:val="22"/>
                <w:szCs w:val="22"/>
                <w:lang w:eastAsia="ru-RU" w:bidi="ru-RU"/>
              </w:rPr>
              <w:t xml:space="preserve"> </w:t>
            </w:r>
            <w:r>
              <w:rPr>
                <w:color w:val="000000"/>
                <w:sz w:val="22"/>
                <w:szCs w:val="22"/>
                <w:lang w:eastAsia="ru-RU" w:bidi="ru-RU"/>
              </w:rPr>
              <w:t xml:space="preserve">Печора </w:t>
            </w:r>
            <w:r w:rsidRPr="000F5DD0">
              <w:rPr>
                <w:sz w:val="22"/>
                <w:szCs w:val="22"/>
              </w:rPr>
              <w:t xml:space="preserve">ул. Н. Островского, д. 35А </w:t>
            </w:r>
          </w:p>
          <w:p w:rsidR="00184DB6" w:rsidRPr="004921D1" w:rsidRDefault="00E636CE" w:rsidP="00184DB6">
            <w:pPr>
              <w:spacing w:line="240" w:lineRule="exact"/>
            </w:pPr>
            <w:r>
              <w:rPr>
                <w:sz w:val="22"/>
                <w:szCs w:val="22"/>
              </w:rPr>
              <w:t xml:space="preserve"> </w:t>
            </w:r>
            <w:r w:rsidR="003F5EFF">
              <w:rPr>
                <w:color w:val="000000"/>
                <w:sz w:val="22"/>
                <w:szCs w:val="22"/>
                <w:lang w:eastAsia="ru-RU" w:bidi="ru-RU"/>
              </w:rPr>
              <w:t>16.01</w:t>
            </w:r>
            <w:r w:rsidR="00184DB6">
              <w:rPr>
                <w:sz w:val="22"/>
                <w:szCs w:val="22"/>
              </w:rPr>
              <w:t>.20</w:t>
            </w:r>
            <w:r w:rsidR="003F5EFF">
              <w:rPr>
                <w:sz w:val="22"/>
                <w:szCs w:val="22"/>
              </w:rPr>
              <w:t>20</w:t>
            </w:r>
            <w:r w:rsidR="00184DB6">
              <w:rPr>
                <w:sz w:val="22"/>
                <w:szCs w:val="22"/>
              </w:rPr>
              <w:t xml:space="preserve"> г. в 10</w:t>
            </w:r>
            <w:r w:rsidR="00184DB6" w:rsidRPr="004921D1">
              <w:rPr>
                <w:sz w:val="22"/>
                <w:szCs w:val="22"/>
              </w:rPr>
              <w:t xml:space="preserve"> ч. </w:t>
            </w:r>
            <w:r w:rsidR="00184DB6">
              <w:rPr>
                <w:sz w:val="22"/>
                <w:szCs w:val="22"/>
              </w:rPr>
              <w:t>3</w:t>
            </w:r>
            <w:r w:rsidR="00184DB6" w:rsidRPr="004921D1">
              <w:rPr>
                <w:sz w:val="22"/>
                <w:szCs w:val="22"/>
              </w:rPr>
              <w:t>0 мин. (время местное).</w:t>
            </w:r>
          </w:p>
          <w:p w:rsidR="00184DB6" w:rsidRPr="00CE7C8E" w:rsidRDefault="00184DB6" w:rsidP="00184DB6">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184DB6" w:rsidRPr="000F5DD0" w:rsidRDefault="00184DB6" w:rsidP="00184DB6">
            <w:pPr>
              <w:widowControl w:val="0"/>
              <w:suppressAutoHyphens w:val="0"/>
              <w:spacing w:line="264" w:lineRule="exact"/>
            </w:pPr>
            <w:r>
              <w:rPr>
                <w:color w:val="000000"/>
                <w:sz w:val="22"/>
                <w:szCs w:val="22"/>
                <w:lang w:eastAsia="ru-RU" w:bidi="ru-RU"/>
              </w:rPr>
              <w:t xml:space="preserve">Республика Коми, </w:t>
            </w:r>
            <w:proofErr w:type="gramStart"/>
            <w:r>
              <w:rPr>
                <w:color w:val="000000"/>
                <w:sz w:val="22"/>
                <w:szCs w:val="22"/>
                <w:lang w:eastAsia="ru-RU" w:bidi="ru-RU"/>
              </w:rPr>
              <w:t>г</w:t>
            </w:r>
            <w:proofErr w:type="gramEnd"/>
            <w:r>
              <w:rPr>
                <w:color w:val="000000"/>
                <w:sz w:val="22"/>
                <w:szCs w:val="22"/>
                <w:lang w:eastAsia="ru-RU" w:bidi="ru-RU"/>
              </w:rPr>
              <w:t>.</w:t>
            </w:r>
            <w:r w:rsidR="000A2004">
              <w:rPr>
                <w:color w:val="000000"/>
                <w:sz w:val="22"/>
                <w:szCs w:val="22"/>
                <w:lang w:eastAsia="ru-RU" w:bidi="ru-RU"/>
              </w:rPr>
              <w:t xml:space="preserve"> </w:t>
            </w:r>
            <w:r>
              <w:rPr>
                <w:color w:val="000000"/>
                <w:sz w:val="22"/>
                <w:szCs w:val="22"/>
                <w:lang w:eastAsia="ru-RU" w:bidi="ru-RU"/>
              </w:rPr>
              <w:t xml:space="preserve">Печора </w:t>
            </w:r>
            <w:r w:rsidRPr="000F5DD0">
              <w:rPr>
                <w:sz w:val="22"/>
                <w:szCs w:val="22"/>
              </w:rPr>
              <w:t xml:space="preserve">ул. Н. Островского, д. 35А </w:t>
            </w:r>
          </w:p>
          <w:p w:rsidR="00983A84" w:rsidRDefault="003F5EFF" w:rsidP="00184DB6">
            <w:pPr>
              <w:spacing w:line="240" w:lineRule="exact"/>
              <w:rPr>
                <w:highlight w:val="yellow"/>
                <w:lang w:eastAsia="ru-RU" w:bidi="ru-RU"/>
              </w:rPr>
            </w:pPr>
            <w:r>
              <w:rPr>
                <w:color w:val="000000"/>
                <w:sz w:val="22"/>
                <w:szCs w:val="22"/>
                <w:lang w:eastAsia="ru-RU" w:bidi="ru-RU"/>
              </w:rPr>
              <w:t>16.01.2020</w:t>
            </w:r>
            <w:r w:rsidR="00184DB6">
              <w:rPr>
                <w:sz w:val="22"/>
                <w:szCs w:val="22"/>
              </w:rPr>
              <w:t xml:space="preserve"> г. в 10 ч. 30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3F5EFF">
        <w:rPr>
          <w:rFonts w:ascii="Times New Roman" w:hAnsi="Times New Roman" w:cs="Times New Roman"/>
          <w:b w:val="0"/>
          <w:bCs w:val="0"/>
          <w:color w:val="000000"/>
        </w:rPr>
        <w:t>40</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3F5EFF">
        <w:rPr>
          <w:rFonts w:ascii="Times New Roman" w:hAnsi="Times New Roman" w:cs="Times New Roman"/>
          <w:b w:val="0"/>
          <w:bCs w:val="0"/>
          <w:color w:val="000000"/>
        </w:rPr>
        <w:t>19.12</w:t>
      </w:r>
      <w:r w:rsidR="001C4816">
        <w:rPr>
          <w:rFonts w:ascii="Times New Roman" w:hAnsi="Times New Roman" w:cs="Times New Roman"/>
          <w:b w:val="0"/>
          <w:bCs w:val="0"/>
          <w:color w:val="000000"/>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84DB6" w:rsidRDefault="001745E9" w:rsidP="00184DB6">
      <w:pPr>
        <w:widowControl w:val="0"/>
        <w:suppressAutoHyphens w:val="0"/>
        <w:spacing w:line="240" w:lineRule="exact"/>
        <w:jc w:val="center"/>
      </w:pPr>
      <w:r>
        <w:t xml:space="preserve">на право заключения </w:t>
      </w:r>
      <w:proofErr w:type="gramStart"/>
      <w:r>
        <w:t>договора</w:t>
      </w:r>
      <w:proofErr w:type="gramEnd"/>
      <w:r>
        <w:t xml:space="preserve"> на выполнение работ для нужд </w:t>
      </w:r>
      <w:r w:rsidR="00184DB6">
        <w:t>ЧУЗ «Поликлиника «</w:t>
      </w:r>
      <w:proofErr w:type="spellStart"/>
      <w:r w:rsidR="00184DB6">
        <w:t>РЖД-Медицина</w:t>
      </w:r>
      <w:proofErr w:type="spellEnd"/>
      <w:r w:rsidR="00184DB6">
        <w:t>» города Печора»</w:t>
      </w:r>
    </w:p>
    <w:p w:rsidR="006D1CBA" w:rsidRDefault="006D1CBA" w:rsidP="006D1CBA">
      <w:pPr>
        <w:widowControl w:val="0"/>
        <w:suppressAutoHyphens w:val="0"/>
        <w:spacing w:line="240" w:lineRule="exact"/>
        <w:jc w:val="center"/>
      </w:pP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184DB6" w:rsidRDefault="00184DB6" w:rsidP="00184DB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Pr="00712D52">
        <w:rPr>
          <w:rFonts w:ascii="Times New Roman" w:hAnsi="Times New Roman" w:cs="Times New Roman"/>
          <w:lang w:eastAsia="zh-CN"/>
        </w:rPr>
        <w:t>ЧУЗ «Поликлиника «</w:t>
      </w:r>
      <w:proofErr w:type="spellStart"/>
      <w:r w:rsidRPr="00712D52">
        <w:rPr>
          <w:rFonts w:ascii="Times New Roman" w:hAnsi="Times New Roman" w:cs="Times New Roman"/>
          <w:lang w:eastAsia="zh-CN"/>
        </w:rPr>
        <w:t>РЖД-Медицина</w:t>
      </w:r>
      <w:proofErr w:type="spellEnd"/>
      <w:r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184DB6" w:rsidRPr="006D1CBA" w:rsidRDefault="00184DB6" w:rsidP="00184DB6">
      <w:pPr>
        <w:widowControl w:val="0"/>
        <w:suppressAutoHyphens w:val="0"/>
        <w:spacing w:line="240" w:lineRule="exact"/>
        <w:jc w:val="both"/>
        <w:rPr>
          <w:sz w:val="22"/>
          <w:szCs w:val="22"/>
        </w:rPr>
      </w:pPr>
      <w:r w:rsidRPr="006D1CBA">
        <w:rPr>
          <w:sz w:val="22"/>
          <w:szCs w:val="22"/>
        </w:rPr>
        <w:tab/>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t>ЧУЗ «Поликлиника «</w:t>
      </w:r>
      <w:proofErr w:type="spellStart"/>
      <w:r>
        <w:t>РЖД-Медицина</w:t>
      </w:r>
      <w:proofErr w:type="spellEnd"/>
      <w:r>
        <w:t>»</w:t>
      </w:r>
      <w:r w:rsidRPr="006D1CBA">
        <w:rPr>
          <w:sz w:val="22"/>
          <w:szCs w:val="22"/>
        </w:rPr>
        <w:t xml:space="preserve">, (далее - Комиссия) руководствуются требованиями Положения о закупке товаров, работ, услуг для нужд </w:t>
      </w:r>
      <w:r>
        <w:t>ЧУЗ «Поликлиника «</w:t>
      </w:r>
      <w:proofErr w:type="spellStart"/>
      <w:r>
        <w:t>РЖД-Медицина</w:t>
      </w:r>
      <w:proofErr w:type="spellEnd"/>
      <w:r>
        <w:t>»</w:t>
      </w:r>
      <w:r w:rsidRPr="006D1CBA">
        <w:rPr>
          <w:sz w:val="22"/>
          <w:szCs w:val="22"/>
        </w:rPr>
        <w:t>.</w:t>
      </w:r>
    </w:p>
    <w:p w:rsidR="00184DB6" w:rsidRDefault="00184DB6" w:rsidP="00184DB6">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t>ЧУЗ «Поликлиника «</w:t>
      </w:r>
      <w:proofErr w:type="spellStart"/>
      <w:r>
        <w:t>РЖД-Медицина</w:t>
      </w:r>
      <w:proofErr w:type="spellEnd"/>
      <w:r>
        <w:t>»</w:t>
      </w:r>
      <w:r>
        <w:rPr>
          <w:sz w:val="22"/>
          <w:szCs w:val="22"/>
        </w:rPr>
        <w:t xml:space="preserve">, </w:t>
      </w:r>
      <w:r w:rsidRPr="006D1CBA">
        <w:rPr>
          <w:sz w:val="22"/>
          <w:szCs w:val="22"/>
        </w:rPr>
        <w:t xml:space="preserve">по адресу: </w:t>
      </w:r>
      <w:r w:rsidRPr="00510EAA">
        <w:t>http</w:t>
      </w:r>
      <w:r w:rsidRPr="00510EAA">
        <w:rPr>
          <w:b/>
          <w:u w:val="single"/>
        </w:rPr>
        <w:t>://www.nuzpechora.ru</w:t>
      </w:r>
      <w:r>
        <w:t>.</w:t>
      </w:r>
      <w:r w:rsidRPr="006D1CBA">
        <w:rPr>
          <w:sz w:val="22"/>
          <w:szCs w:val="22"/>
        </w:rPr>
        <w:t xml:space="preserve"> </w:t>
      </w:r>
      <w:r>
        <w:rPr>
          <w:sz w:val="22"/>
          <w:szCs w:val="22"/>
        </w:rPr>
        <w:t xml:space="preserve"> </w:t>
      </w:r>
    </w:p>
    <w:p w:rsidR="00184DB6" w:rsidRPr="00DA74E5" w:rsidRDefault="00184DB6" w:rsidP="00184DB6">
      <w:pPr>
        <w:widowControl w:val="0"/>
        <w:suppressAutoHyphens w:val="0"/>
        <w:spacing w:line="240" w:lineRule="exact"/>
        <w:jc w:val="both"/>
      </w:pPr>
      <w:proofErr w:type="gramStart"/>
      <w:r>
        <w:rPr>
          <w:sz w:val="22"/>
          <w:szCs w:val="22"/>
        </w:rPr>
        <w:t>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 </w:t>
      </w:r>
      <w:proofErr w:type="gramEnd"/>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Pr="00676512">
        <w:rPr>
          <w:rFonts w:ascii="Times New Roman" w:hAnsi="Times New Roman" w:cs="Times New Roman"/>
        </w:rPr>
        <w:t xml:space="preserve"> </w:t>
      </w:r>
      <w:r>
        <w:rPr>
          <w:rFonts w:ascii="Times New Roman" w:hAnsi="Times New Roman" w:cs="Times New Roman"/>
        </w:rPr>
        <w:t>перечень и стоимость работ, запасных частей (в соответствии с Техническим заданием - Приложение № 4 к Документации</w:t>
      </w:r>
      <w:proofErr w:type="gramStart"/>
      <w:r>
        <w:rPr>
          <w:rFonts w:ascii="Times New Roman" w:hAnsi="Times New Roman" w:cs="Times New Roman"/>
        </w:rPr>
        <w:t xml:space="preserve">;). </w:t>
      </w:r>
      <w:proofErr w:type="gramEnd"/>
      <w:r>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предлагаемых работ. </w:t>
      </w:r>
      <w:r>
        <w:rPr>
          <w:rFonts w:ascii="Times New Roman" w:eastAsia="Calibri" w:hAnsi="Times New Roman" w:cs="Times New Roman"/>
          <w:color w:val="000000"/>
        </w:rPr>
        <w:t>Конкретные показатели указываются участником в своей заявке. Заявка участника (сведения о предлагаемом перечне работ)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w:t>
      </w:r>
      <w:r>
        <w:rPr>
          <w:rFonts w:ascii="Times New Roman" w:hAnsi="Times New Roman" w:cs="Times New Roman"/>
        </w:rPr>
        <w:lastRenderedPageBreak/>
        <w:t>товара, выполнение работы, оказание услуги, являющихся предметом договора.</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84DB6" w:rsidRDefault="00184DB6" w:rsidP="00184DB6">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84DB6" w:rsidRDefault="00184DB6" w:rsidP="00184DB6">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 удостоверения, сертификат соответствия и декларация соответствия на предлагаемый Товар и другие соответствующие информационные справки.</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w:t>
      </w:r>
      <w:r w:rsidR="000A2004">
        <w:rPr>
          <w:rFonts w:ascii="Times New Roman" w:hAnsi="Times New Roman" w:cs="Times New Roman"/>
        </w:rPr>
        <w:t xml:space="preserve"> </w:t>
      </w:r>
      <w:r>
        <w:rPr>
          <w:rFonts w:ascii="Times New Roman" w:hAnsi="Times New Roman" w:cs="Times New Roman"/>
        </w:rPr>
        <w:t>представленными.</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84DB6" w:rsidRDefault="00184DB6" w:rsidP="00184DB6">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№4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84DB6" w:rsidRDefault="00184DB6" w:rsidP="00184DB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84DB6" w:rsidRPr="00207333" w:rsidRDefault="00184DB6" w:rsidP="00184DB6">
      <w:pPr>
        <w:jc w:val="both"/>
        <w:rPr>
          <w:snapToGrid w:val="0"/>
          <w:color w:val="000000"/>
          <w:sz w:val="22"/>
          <w:szCs w:val="22"/>
        </w:rPr>
      </w:pPr>
      <w:r>
        <w:rPr>
          <w:sz w:val="22"/>
          <w:szCs w:val="22"/>
          <w:lang w:eastAsia="ru-RU"/>
        </w:rPr>
        <w:t xml:space="preserve">5. </w:t>
      </w:r>
      <w:r>
        <w:rPr>
          <w:bCs/>
          <w:sz w:val="22"/>
          <w:szCs w:val="22"/>
          <w:lang w:eastAsia="ru-RU"/>
        </w:rPr>
        <w:t xml:space="preserve">Форма, срок и порядок оплаты товара: </w:t>
      </w: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184DB6" w:rsidRDefault="00184DB6" w:rsidP="00184DB6">
      <w:pPr>
        <w:suppressAutoHyphens w:val="0"/>
        <w:jc w:val="both"/>
        <w:rPr>
          <w:sz w:val="22"/>
          <w:szCs w:val="22"/>
          <w:lang w:eastAsia="ru-RU"/>
        </w:rPr>
      </w:pPr>
      <w:r>
        <w:rPr>
          <w:sz w:val="22"/>
          <w:szCs w:val="22"/>
          <w:lang w:eastAsia="ru-RU"/>
        </w:rPr>
        <w:t xml:space="preserve">6.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Цена работ является фиксированной и изменению в течение срока действия договора не подлежит.</w:t>
      </w:r>
    </w:p>
    <w:p w:rsidR="00184DB6" w:rsidRPr="000A2004" w:rsidRDefault="00184DB6" w:rsidP="00184DB6">
      <w:pPr>
        <w:spacing w:line="274" w:lineRule="exact"/>
        <w:jc w:val="both"/>
        <w:rPr>
          <w:b/>
          <w:sz w:val="22"/>
          <w:szCs w:val="22"/>
        </w:rPr>
      </w:pPr>
      <w:r>
        <w:rPr>
          <w:sz w:val="22"/>
          <w:szCs w:val="22"/>
          <w:lang w:eastAsia="ru-RU"/>
        </w:rPr>
        <w:lastRenderedPageBreak/>
        <w:t xml:space="preserve">8.  </w:t>
      </w:r>
      <w:r w:rsidRPr="000A2004">
        <w:rPr>
          <w:b/>
          <w:sz w:val="22"/>
          <w:szCs w:val="22"/>
        </w:rPr>
        <w:t xml:space="preserve">Заявки подаются с </w:t>
      </w:r>
      <w:r w:rsidR="003F5EFF">
        <w:rPr>
          <w:b/>
          <w:sz w:val="22"/>
          <w:szCs w:val="22"/>
        </w:rPr>
        <w:t>19.12.2019</w:t>
      </w:r>
      <w:r w:rsidRPr="000A2004">
        <w:rPr>
          <w:rStyle w:val="29"/>
          <w:b/>
        </w:rPr>
        <w:t xml:space="preserve"> г.</w:t>
      </w:r>
      <w:r w:rsidRPr="000A2004">
        <w:rPr>
          <w:b/>
          <w:sz w:val="22"/>
          <w:szCs w:val="22"/>
        </w:rPr>
        <w:t xml:space="preserve"> с </w:t>
      </w:r>
      <w:r w:rsidR="000A2004" w:rsidRPr="000A2004">
        <w:rPr>
          <w:b/>
          <w:sz w:val="22"/>
          <w:szCs w:val="22"/>
        </w:rPr>
        <w:t>1</w:t>
      </w:r>
      <w:r w:rsidR="003F5EFF">
        <w:rPr>
          <w:b/>
          <w:sz w:val="22"/>
          <w:szCs w:val="22"/>
        </w:rPr>
        <w:t>0</w:t>
      </w:r>
      <w:r w:rsidRPr="000A2004">
        <w:rPr>
          <w:b/>
          <w:sz w:val="22"/>
          <w:szCs w:val="22"/>
        </w:rPr>
        <w:t xml:space="preserve"> ч</w:t>
      </w:r>
      <w:r w:rsidR="000A2004">
        <w:rPr>
          <w:b/>
          <w:sz w:val="22"/>
          <w:szCs w:val="22"/>
        </w:rPr>
        <w:t>.</w:t>
      </w:r>
      <w:r w:rsidRPr="000A2004">
        <w:rPr>
          <w:b/>
          <w:sz w:val="22"/>
          <w:szCs w:val="22"/>
        </w:rPr>
        <w:t xml:space="preserve"> </w:t>
      </w:r>
      <w:r w:rsidR="003F5EFF">
        <w:rPr>
          <w:b/>
          <w:sz w:val="22"/>
          <w:szCs w:val="22"/>
        </w:rPr>
        <w:t>3</w:t>
      </w:r>
      <w:r w:rsidRPr="000A2004">
        <w:rPr>
          <w:b/>
          <w:sz w:val="22"/>
          <w:szCs w:val="22"/>
        </w:rPr>
        <w:t xml:space="preserve">0 мин. по </w:t>
      </w:r>
      <w:r w:rsidR="003F5EFF">
        <w:rPr>
          <w:b/>
          <w:sz w:val="22"/>
          <w:szCs w:val="22"/>
        </w:rPr>
        <w:t xml:space="preserve">16.01.2020 </w:t>
      </w:r>
      <w:r w:rsidRPr="000A2004">
        <w:rPr>
          <w:rStyle w:val="29"/>
          <w:b/>
        </w:rPr>
        <w:t xml:space="preserve"> г.</w:t>
      </w:r>
      <w:r w:rsidRPr="000A2004">
        <w:rPr>
          <w:b/>
          <w:sz w:val="22"/>
          <w:szCs w:val="22"/>
          <w:lang w:eastAsia="en-US" w:bidi="en-US"/>
        </w:rPr>
        <w:t xml:space="preserve"> </w:t>
      </w:r>
      <w:r w:rsidRPr="000A2004">
        <w:rPr>
          <w:b/>
          <w:sz w:val="22"/>
          <w:szCs w:val="22"/>
        </w:rPr>
        <w:t xml:space="preserve">до 10 ч </w:t>
      </w:r>
      <w:r w:rsidR="000A2004" w:rsidRPr="000A2004">
        <w:rPr>
          <w:b/>
          <w:sz w:val="22"/>
          <w:szCs w:val="22"/>
        </w:rPr>
        <w:t>0</w:t>
      </w:r>
      <w:r w:rsidRPr="000A2004">
        <w:rPr>
          <w:b/>
          <w:sz w:val="22"/>
          <w:szCs w:val="22"/>
        </w:rPr>
        <w:t>0 мин. время местное.</w:t>
      </w:r>
    </w:p>
    <w:p w:rsidR="00184DB6" w:rsidRPr="000A2004" w:rsidRDefault="00184DB6" w:rsidP="00184DB6">
      <w:pPr>
        <w:spacing w:line="274" w:lineRule="exact"/>
        <w:jc w:val="both"/>
        <w:rPr>
          <w:b/>
          <w:sz w:val="22"/>
          <w:szCs w:val="22"/>
        </w:rPr>
      </w:pPr>
      <w:r w:rsidRPr="000A2004">
        <w:rPr>
          <w:b/>
          <w:sz w:val="22"/>
          <w:szCs w:val="22"/>
        </w:rPr>
        <w:t xml:space="preserve">Прием заявок на участие в запросе котировок в письменной форме осуществляется по адресу: </w:t>
      </w:r>
      <w:r w:rsidRPr="000A2004">
        <w:rPr>
          <w:b/>
          <w:color w:val="000000"/>
          <w:sz w:val="22"/>
          <w:szCs w:val="22"/>
          <w:lang w:eastAsia="ru-RU" w:bidi="ru-RU"/>
        </w:rPr>
        <w:t xml:space="preserve">Республика Коми, </w:t>
      </w:r>
      <w:proofErr w:type="gramStart"/>
      <w:r w:rsidRPr="000A2004">
        <w:rPr>
          <w:b/>
          <w:color w:val="000000"/>
          <w:sz w:val="22"/>
          <w:szCs w:val="22"/>
          <w:lang w:eastAsia="ru-RU" w:bidi="ru-RU"/>
        </w:rPr>
        <w:t>г</w:t>
      </w:r>
      <w:proofErr w:type="gramEnd"/>
      <w:r w:rsidRPr="000A2004">
        <w:rPr>
          <w:b/>
          <w:color w:val="000000"/>
          <w:sz w:val="22"/>
          <w:szCs w:val="22"/>
          <w:lang w:eastAsia="ru-RU" w:bidi="ru-RU"/>
        </w:rPr>
        <w:t>.</w:t>
      </w:r>
      <w:r w:rsidR="000A2004">
        <w:rPr>
          <w:b/>
          <w:color w:val="000000"/>
          <w:sz w:val="22"/>
          <w:szCs w:val="22"/>
          <w:lang w:eastAsia="ru-RU" w:bidi="ru-RU"/>
        </w:rPr>
        <w:t xml:space="preserve"> </w:t>
      </w:r>
      <w:r w:rsidRPr="000A2004">
        <w:rPr>
          <w:b/>
          <w:color w:val="000000"/>
          <w:sz w:val="22"/>
          <w:szCs w:val="22"/>
          <w:lang w:eastAsia="ru-RU" w:bidi="ru-RU"/>
        </w:rPr>
        <w:t xml:space="preserve">Печора </w:t>
      </w:r>
      <w:r w:rsidRPr="000A2004">
        <w:rPr>
          <w:b/>
          <w:sz w:val="22"/>
          <w:szCs w:val="22"/>
        </w:rPr>
        <w:t xml:space="preserve">ул. Н. Островского, д. 35А, приемная главного врача - 2 этаж, в рабочие дни с 8-00 до 16-30 (местное время). </w:t>
      </w:r>
    </w:p>
    <w:p w:rsidR="00184DB6" w:rsidRDefault="00184DB6" w:rsidP="00184DB6">
      <w:pPr>
        <w:spacing w:line="274" w:lineRule="exact"/>
        <w:jc w:val="both"/>
        <w:rPr>
          <w:sz w:val="22"/>
          <w:szCs w:val="22"/>
        </w:rPr>
      </w:pPr>
      <w:r>
        <w:rPr>
          <w:sz w:val="22"/>
          <w:szCs w:val="22"/>
        </w:rPr>
        <w:t>9. Требования к участникам закупки.</w:t>
      </w:r>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Pr>
          <w:rFonts w:ascii="Times New Roman" w:hAnsi="Times New Roman" w:cs="Times New Roman"/>
          <w:lang w:eastAsia="zh-CN"/>
        </w:rPr>
        <w:t>являющихся</w:t>
      </w:r>
      <w:proofErr w:type="gramEnd"/>
      <w:r>
        <w:rPr>
          <w:rFonts w:ascii="Times New Roman" w:hAnsi="Times New Roman" w:cs="Times New Roman"/>
          <w:lang w:eastAsia="zh-CN"/>
        </w:rPr>
        <w:t xml:space="preserve"> предметом договора;</w:t>
      </w:r>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84DB6" w:rsidRDefault="00184DB6" w:rsidP="00184DB6">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Под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w:t>
      </w:r>
      <w:r w:rsidRPr="007C56B8">
        <w:rPr>
          <w:color w:val="000000"/>
          <w:sz w:val="22"/>
          <w:szCs w:val="22"/>
          <w:lang w:eastAsia="ru-RU" w:bidi="ru-RU"/>
        </w:rPr>
        <w:lastRenderedPageBreak/>
        <w:t>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84DB6" w:rsidRDefault="00184DB6" w:rsidP="00184DB6">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84DB6" w:rsidRDefault="00184DB6" w:rsidP="00184DB6">
      <w:pPr>
        <w:widowControl w:val="0"/>
        <w:tabs>
          <w:tab w:val="left" w:pos="1276"/>
        </w:tabs>
        <w:suppressAutoHyphens w:val="0"/>
        <w:jc w:val="both"/>
        <w:rPr>
          <w:sz w:val="22"/>
          <w:szCs w:val="22"/>
          <w:lang w:eastAsia="ru-RU"/>
        </w:rPr>
      </w:pPr>
      <w:r>
        <w:rPr>
          <w:sz w:val="22"/>
          <w:szCs w:val="22"/>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84DB6" w:rsidRDefault="00184DB6" w:rsidP="00184DB6">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84DB6" w:rsidRDefault="00184DB6" w:rsidP="00184DB6">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84DB6" w:rsidRDefault="00184DB6" w:rsidP="00184DB6">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84DB6" w:rsidRPr="00AF3256" w:rsidRDefault="00184DB6" w:rsidP="00184DB6">
      <w:pPr>
        <w:jc w:val="both"/>
        <w:rPr>
          <w:sz w:val="22"/>
          <w:szCs w:val="22"/>
          <w:lang w:eastAsia="ru-RU"/>
        </w:rPr>
      </w:pPr>
      <w:r w:rsidRPr="00AF3256">
        <w:rPr>
          <w:sz w:val="22"/>
          <w:szCs w:val="22"/>
          <w:lang w:eastAsia="ru-RU"/>
        </w:rPr>
        <w:lastRenderedPageBreak/>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84DB6" w:rsidRPr="00E636CE" w:rsidRDefault="00184DB6" w:rsidP="00184DB6">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Гарантийный срок на товар: не менее 12 (двенадцати) месяцев с момента подписания Заказчиком товарной накладной (форма ТОРГ-12)</w:t>
      </w:r>
      <w:r w:rsidRPr="00F97968">
        <w:rPr>
          <w:bCs/>
          <w:sz w:val="22"/>
          <w:szCs w:val="22"/>
          <w:lang w:eastAsia="ru-RU"/>
        </w:rPr>
        <w:t>.</w:t>
      </w:r>
    </w:p>
    <w:p w:rsidR="00184DB6" w:rsidRDefault="00184DB6" w:rsidP="00184DB6">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84DB6" w:rsidRDefault="00184DB6" w:rsidP="00184DB6">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84DB6" w:rsidRDefault="00184DB6" w:rsidP="00184DB6">
      <w:pPr>
        <w:suppressAutoHyphens w:val="0"/>
        <w:jc w:val="both"/>
        <w:rPr>
          <w:sz w:val="22"/>
          <w:szCs w:val="22"/>
          <w:lang w:eastAsia="ru-RU"/>
        </w:rPr>
      </w:pPr>
      <w:r>
        <w:rPr>
          <w:sz w:val="22"/>
          <w:szCs w:val="22"/>
          <w:lang w:eastAsia="ru-RU"/>
        </w:rPr>
        <w:t>Приложение:</w:t>
      </w:r>
    </w:p>
    <w:p w:rsidR="00184DB6" w:rsidRDefault="00184DB6" w:rsidP="00184DB6">
      <w:pPr>
        <w:numPr>
          <w:ilvl w:val="0"/>
          <w:numId w:val="3"/>
        </w:numPr>
        <w:suppressAutoHyphens w:val="0"/>
        <w:jc w:val="both"/>
        <w:rPr>
          <w:sz w:val="22"/>
          <w:szCs w:val="22"/>
          <w:lang w:eastAsia="ru-RU"/>
        </w:rPr>
      </w:pPr>
      <w:r>
        <w:rPr>
          <w:sz w:val="22"/>
          <w:szCs w:val="22"/>
          <w:lang w:eastAsia="ru-RU"/>
        </w:rPr>
        <w:t>Форма котировочной заявки;</w:t>
      </w:r>
    </w:p>
    <w:p w:rsidR="00184DB6" w:rsidRDefault="00184DB6" w:rsidP="00184DB6">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84DB6" w:rsidRDefault="00184DB6" w:rsidP="00184DB6">
      <w:pPr>
        <w:numPr>
          <w:ilvl w:val="0"/>
          <w:numId w:val="3"/>
        </w:numPr>
        <w:suppressAutoHyphens w:val="0"/>
        <w:jc w:val="both"/>
        <w:rPr>
          <w:sz w:val="22"/>
          <w:szCs w:val="22"/>
          <w:lang w:eastAsia="ru-RU"/>
        </w:rPr>
      </w:pPr>
      <w:r>
        <w:rPr>
          <w:sz w:val="22"/>
          <w:szCs w:val="22"/>
          <w:lang w:eastAsia="ru-RU"/>
        </w:rPr>
        <w:t>Техническое задание;</w:t>
      </w:r>
    </w:p>
    <w:p w:rsidR="00184DB6" w:rsidRDefault="00184DB6" w:rsidP="00184DB6">
      <w:pPr>
        <w:numPr>
          <w:ilvl w:val="0"/>
          <w:numId w:val="3"/>
        </w:numPr>
        <w:suppressAutoHyphens w:val="0"/>
        <w:jc w:val="both"/>
        <w:rPr>
          <w:sz w:val="22"/>
          <w:szCs w:val="22"/>
          <w:lang w:eastAsia="ru-RU"/>
        </w:rPr>
      </w:pPr>
      <w:r>
        <w:rPr>
          <w:sz w:val="22"/>
          <w:szCs w:val="22"/>
          <w:lang w:eastAsia="ru-RU"/>
        </w:rPr>
        <w:t>Проект договора.</w:t>
      </w:r>
    </w:p>
    <w:p w:rsidR="00184DB6" w:rsidRDefault="00184DB6" w:rsidP="00184DB6">
      <w:pPr>
        <w:suppressAutoHyphens w:val="0"/>
        <w:ind w:left="720"/>
        <w:jc w:val="both"/>
        <w:rPr>
          <w:sz w:val="22"/>
          <w:szCs w:val="22"/>
          <w:lang w:eastAsia="ru-RU"/>
        </w:rPr>
      </w:pPr>
      <w:r>
        <w:rPr>
          <w:sz w:val="22"/>
          <w:szCs w:val="22"/>
          <w:lang w:eastAsia="ru-RU"/>
        </w:rPr>
        <w:br/>
      </w:r>
    </w:p>
    <w:p w:rsidR="00983A84" w:rsidRDefault="00983A84" w:rsidP="00D37DB3">
      <w:pPr>
        <w:suppressAutoHyphens w:val="0"/>
        <w:ind w:left="720"/>
        <w:jc w:val="both"/>
        <w:rPr>
          <w:sz w:val="22"/>
          <w:szCs w:val="22"/>
          <w:lang w:eastAsia="ru-RU"/>
        </w:rPr>
      </w:pP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Default="00983A84" w:rsidP="001C4816">
      <w:pPr>
        <w:widowControl w:val="0"/>
        <w:suppressAutoHyphens w:val="0"/>
        <w:spacing w:line="240" w:lineRule="exact"/>
        <w:jc w:val="center"/>
        <w:rPr>
          <w:b/>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0A2004" w:rsidRPr="000A2004">
        <w:rPr>
          <w:b/>
          <w:bCs/>
        </w:rPr>
        <w:t>фиброгастроскопа</w:t>
      </w:r>
      <w:proofErr w:type="spellEnd"/>
      <w:r w:rsidR="000A2004" w:rsidRPr="000A2004">
        <w:rPr>
          <w:b/>
          <w:bCs/>
        </w:rPr>
        <w:t xml:space="preserve"> FG-29V</w:t>
      </w:r>
    </w:p>
    <w:p w:rsidR="000A2004" w:rsidRPr="00D37DB3" w:rsidRDefault="000A2004" w:rsidP="001C4816">
      <w:pPr>
        <w:widowControl w:val="0"/>
        <w:suppressAutoHyphens w:val="0"/>
        <w:spacing w:line="240" w:lineRule="exact"/>
        <w:jc w:val="center"/>
        <w:rPr>
          <w:bCs/>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 xml:space="preserve">169600 Республика Коми, </w:t>
      </w:r>
      <w:proofErr w:type="gramStart"/>
      <w:r w:rsidR="00A83B5E">
        <w:rPr>
          <w:color w:val="000000"/>
          <w:sz w:val="22"/>
          <w:szCs w:val="22"/>
          <w:lang w:eastAsia="ru-RU" w:bidi="ru-RU"/>
        </w:rPr>
        <w:t>г</w:t>
      </w:r>
      <w:proofErr w:type="gramEnd"/>
      <w:r w:rsidR="00A83B5E">
        <w:rPr>
          <w:color w:val="000000"/>
          <w:sz w:val="22"/>
          <w:szCs w:val="22"/>
          <w:lang w:eastAsia="ru-RU" w:bidi="ru-RU"/>
        </w:rPr>
        <w:t>.</w:t>
      </w:r>
      <w:r w:rsidR="000A2004">
        <w:rPr>
          <w:color w:val="000000"/>
          <w:sz w:val="22"/>
          <w:szCs w:val="22"/>
          <w:lang w:eastAsia="ru-RU" w:bidi="ru-RU"/>
        </w:rPr>
        <w:t xml:space="preserve"> </w:t>
      </w:r>
      <w:r w:rsidR="00A83B5E">
        <w:rPr>
          <w:color w:val="000000"/>
          <w:sz w:val="22"/>
          <w:szCs w:val="22"/>
          <w:lang w:eastAsia="ru-RU" w:bidi="ru-RU"/>
        </w:rPr>
        <w:t xml:space="preserve">Печора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proofErr w:type="gramStart"/>
      <w:r>
        <w:rPr>
          <w:sz w:val="22"/>
          <w:szCs w:val="22"/>
          <w:lang w:eastAsia="ru-RU"/>
        </w:rPr>
        <w:t>(наименование, организационно-правовая   форма</w:t>
      </w:r>
      <w:r w:rsidRPr="00487633">
        <w:rPr>
          <w:sz w:val="22"/>
          <w:szCs w:val="22"/>
          <w:lang w:eastAsia="ru-RU"/>
        </w:rPr>
        <w:t>, 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1745E9">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резиновой оболочки изгибаемой секции</w:t>
            </w:r>
          </w:p>
        </w:tc>
        <w:tc>
          <w:tcPr>
            <w:tcW w:w="1134" w:type="dxa"/>
            <w:shd w:val="clear" w:color="auto" w:fill="auto"/>
          </w:tcPr>
          <w:p w:rsidR="00487633" w:rsidRDefault="00487633" w:rsidP="006B176B">
            <w:r w:rsidRPr="00F43DD4">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тяг</w:t>
            </w:r>
          </w:p>
        </w:tc>
        <w:tc>
          <w:tcPr>
            <w:tcW w:w="1134" w:type="dxa"/>
            <w:shd w:val="clear" w:color="auto" w:fill="auto"/>
          </w:tcPr>
          <w:p w:rsidR="00487633" w:rsidRPr="00F43DD4"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тубуса вводимой части в сборе</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универсального тубуса </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Замена канала вода/воздух гастроскопа (технологическая)</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134" w:type="dxa"/>
            <w:shd w:val="clear" w:color="auto" w:fill="auto"/>
          </w:tcPr>
          <w:p w:rsidR="00487633" w:rsidRPr="00F43DD4"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Замена регулярного жгута</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487633" w:rsidRDefault="00487633"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lastRenderedPageBreak/>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w:t>
      </w:r>
      <w:r>
        <w:rPr>
          <w:sz w:val="22"/>
          <w:szCs w:val="22"/>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w:t>
      </w:r>
      <w:r w:rsidR="00487633">
        <w:rPr>
          <w:b/>
          <w:color w:val="000000"/>
        </w:rPr>
        <w:t>выполнение работ</w:t>
      </w:r>
    </w:p>
    <w:p w:rsidR="00FC28BD" w:rsidRDefault="00FC28BD" w:rsidP="006B176B">
      <w:pPr>
        <w:ind w:left="720"/>
      </w:pPr>
    </w:p>
    <w:tbl>
      <w:tblPr>
        <w:tblStyle w:val="aff0"/>
        <w:tblW w:w="9464" w:type="dxa"/>
        <w:tblLayout w:type="fixed"/>
        <w:tblLook w:val="04A0"/>
      </w:tblPr>
      <w:tblGrid>
        <w:gridCol w:w="560"/>
        <w:gridCol w:w="7345"/>
        <w:gridCol w:w="1559"/>
      </w:tblGrid>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w:t>
            </w:r>
            <w:r w:rsidR="00F44C4C">
              <w:rPr>
                <w:rStyle w:val="2a"/>
                <w:rFonts w:eastAsiaTheme="minorHAnsi"/>
                <w:sz w:val="22"/>
                <w:szCs w:val="22"/>
              </w:rPr>
              <w:t>и</w:t>
            </w:r>
            <w:r>
              <w:rPr>
                <w:rStyle w:val="2a"/>
                <w:rFonts w:eastAsiaTheme="minorHAnsi"/>
                <w:sz w:val="22"/>
                <w:szCs w:val="22"/>
              </w:rPr>
              <w:t>мых работ, запасных частей</w:t>
            </w:r>
          </w:p>
        </w:tc>
        <w:tc>
          <w:tcPr>
            <w:tcW w:w="1559"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резиновой оболочки изгибаемой секции</w:t>
            </w:r>
          </w:p>
        </w:tc>
        <w:tc>
          <w:tcPr>
            <w:tcW w:w="1559" w:type="dxa"/>
            <w:shd w:val="clear" w:color="auto" w:fill="auto"/>
          </w:tcPr>
          <w:p w:rsidR="00487633" w:rsidRDefault="00487633" w:rsidP="00DD387C">
            <w:r w:rsidRPr="00F43DD4">
              <w:t>1</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тяг</w:t>
            </w:r>
          </w:p>
        </w:tc>
        <w:tc>
          <w:tcPr>
            <w:tcW w:w="1559" w:type="dxa"/>
            <w:shd w:val="clear" w:color="auto" w:fill="auto"/>
          </w:tcPr>
          <w:p w:rsidR="00487633" w:rsidRPr="00F43DD4" w:rsidRDefault="00487633" w:rsidP="00DD387C">
            <w:r>
              <w:t>1</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тубуса вводимой части в сборе</w:t>
            </w:r>
          </w:p>
        </w:tc>
        <w:tc>
          <w:tcPr>
            <w:tcW w:w="1559" w:type="dxa"/>
            <w:shd w:val="clear" w:color="auto" w:fill="auto"/>
          </w:tcPr>
          <w:p w:rsidR="00487633" w:rsidRPr="00F43DD4"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универсального тубуса </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Замена канала вода/воздух гастроскопа (технологическая)</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Замена регулярного жгута</w:t>
            </w:r>
          </w:p>
        </w:tc>
        <w:tc>
          <w:tcPr>
            <w:tcW w:w="1559" w:type="dxa"/>
            <w:shd w:val="clear" w:color="auto" w:fill="auto"/>
          </w:tcPr>
          <w:p w:rsidR="00487633" w:rsidRDefault="00487633" w:rsidP="00DD387C">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A2004"/>
    <w:rsid w:val="000D2629"/>
    <w:rsid w:val="000F5DD0"/>
    <w:rsid w:val="001745E9"/>
    <w:rsid w:val="00184DB6"/>
    <w:rsid w:val="001C4816"/>
    <w:rsid w:val="001E4FEA"/>
    <w:rsid w:val="001F25F4"/>
    <w:rsid w:val="00201DCB"/>
    <w:rsid w:val="00210D7C"/>
    <w:rsid w:val="002775AF"/>
    <w:rsid w:val="00284702"/>
    <w:rsid w:val="002F4914"/>
    <w:rsid w:val="003272C5"/>
    <w:rsid w:val="0036007C"/>
    <w:rsid w:val="00367156"/>
    <w:rsid w:val="00367E89"/>
    <w:rsid w:val="00385235"/>
    <w:rsid w:val="003F5EFF"/>
    <w:rsid w:val="003F612E"/>
    <w:rsid w:val="0046114C"/>
    <w:rsid w:val="00467E57"/>
    <w:rsid w:val="00487633"/>
    <w:rsid w:val="004A6D4C"/>
    <w:rsid w:val="004B35A0"/>
    <w:rsid w:val="004B5B8A"/>
    <w:rsid w:val="004C23D3"/>
    <w:rsid w:val="004D325A"/>
    <w:rsid w:val="004F6F84"/>
    <w:rsid w:val="0050649C"/>
    <w:rsid w:val="00510284"/>
    <w:rsid w:val="00516AF8"/>
    <w:rsid w:val="00517066"/>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8B226D"/>
    <w:rsid w:val="00911CC2"/>
    <w:rsid w:val="00935F67"/>
    <w:rsid w:val="00940480"/>
    <w:rsid w:val="00983A84"/>
    <w:rsid w:val="009E3BD5"/>
    <w:rsid w:val="009F28D1"/>
    <w:rsid w:val="00A03767"/>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B210-4D5C-4BC8-BA28-3C9434E7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5002</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4</cp:revision>
  <cp:lastPrinted>2019-03-26T10:03:00Z</cp:lastPrinted>
  <dcterms:created xsi:type="dcterms:W3CDTF">2019-09-30T05:49:00Z</dcterms:created>
  <dcterms:modified xsi:type="dcterms:W3CDTF">2019-12-19T06:28:00Z</dcterms:modified>
</cp:coreProperties>
</file>