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7FA" w:rsidRPr="008B1DD5" w:rsidRDefault="00B477FA" w:rsidP="00B477FA">
      <w:pPr>
        <w:pStyle w:val="60"/>
        <w:shd w:val="clear" w:color="auto" w:fill="auto"/>
        <w:spacing w:before="0" w:line="240" w:lineRule="auto"/>
        <w:ind w:firstLine="0"/>
        <w:jc w:val="right"/>
        <w:rPr>
          <w:rFonts w:ascii="Times New Roman" w:hAnsi="Times New Roman" w:cs="Times New Roman"/>
          <w:b/>
          <w:i w:val="0"/>
          <w:sz w:val="20"/>
          <w:szCs w:val="20"/>
          <w:lang w:eastAsia="ru-RU"/>
        </w:rPr>
      </w:pPr>
      <w:r w:rsidRPr="008B1DD5">
        <w:rPr>
          <w:rFonts w:ascii="Times New Roman" w:hAnsi="Times New Roman" w:cs="Times New Roman"/>
          <w:b/>
          <w:i w:val="0"/>
          <w:sz w:val="20"/>
          <w:szCs w:val="20"/>
        </w:rPr>
        <w:t xml:space="preserve">Приложение № </w:t>
      </w:r>
      <w:r w:rsidR="00D16304">
        <w:rPr>
          <w:rFonts w:ascii="Times New Roman" w:hAnsi="Times New Roman" w:cs="Times New Roman"/>
          <w:b/>
          <w:i w:val="0"/>
          <w:sz w:val="20"/>
          <w:szCs w:val="20"/>
        </w:rPr>
        <w:t>2</w:t>
      </w:r>
      <w:bookmarkStart w:id="0" w:name="_GoBack"/>
      <w:bookmarkEnd w:id="0"/>
    </w:p>
    <w:p w:rsidR="00B477FA" w:rsidRPr="008B1DD5" w:rsidRDefault="00B477FA" w:rsidP="00B477FA">
      <w:pPr>
        <w:pStyle w:val="a4"/>
        <w:shd w:val="clear" w:color="auto" w:fill="auto"/>
        <w:rPr>
          <w:rFonts w:ascii="Times New Roman" w:hAnsi="Times New Roman" w:cs="Times New Roman"/>
          <w:sz w:val="20"/>
          <w:szCs w:val="20"/>
        </w:rPr>
      </w:pPr>
      <w:r w:rsidRPr="008B1DD5">
        <w:rPr>
          <w:rFonts w:ascii="Times New Roman" w:hAnsi="Times New Roman" w:cs="Times New Roman"/>
          <w:sz w:val="20"/>
          <w:szCs w:val="20"/>
        </w:rPr>
        <w:t>к Документации о проведении закупки</w:t>
      </w:r>
    </w:p>
    <w:p w:rsidR="00B477FA" w:rsidRPr="008B1DD5" w:rsidRDefault="00B477FA" w:rsidP="00B477FA">
      <w:pPr>
        <w:ind w:left="-426" w:right="-383"/>
        <w:jc w:val="both"/>
        <w:rPr>
          <w:b/>
          <w:i/>
          <w:sz w:val="20"/>
          <w:szCs w:val="20"/>
          <w:u w:val="single"/>
        </w:rPr>
      </w:pPr>
    </w:p>
    <w:p w:rsidR="00B477FA" w:rsidRPr="008B1DD5" w:rsidRDefault="00B477FA" w:rsidP="00B477FA">
      <w:pPr>
        <w:jc w:val="center"/>
        <w:rPr>
          <w:sz w:val="20"/>
          <w:szCs w:val="20"/>
        </w:rPr>
      </w:pPr>
      <w:r w:rsidRPr="008B1DD5">
        <w:rPr>
          <w:sz w:val="20"/>
          <w:szCs w:val="20"/>
        </w:rPr>
        <w:t>Техническое задание</w:t>
      </w:r>
    </w:p>
    <w:p w:rsidR="00B477FA" w:rsidRPr="008B1DD5" w:rsidRDefault="00B477FA" w:rsidP="00B477FA">
      <w:pPr>
        <w:pStyle w:val="40"/>
        <w:shd w:val="clear" w:color="auto" w:fill="auto"/>
        <w:spacing w:before="0" w:line="240" w:lineRule="exact"/>
        <w:ind w:firstLine="580"/>
        <w:rPr>
          <w:rFonts w:ascii="Times New Roman" w:hAnsi="Times New Roman" w:cs="Times New Roman"/>
          <w:sz w:val="20"/>
          <w:szCs w:val="20"/>
        </w:rPr>
      </w:pPr>
    </w:p>
    <w:tbl>
      <w:tblPr>
        <w:tblW w:w="9247" w:type="dxa"/>
        <w:tblInd w:w="118" w:type="dxa"/>
        <w:tblLook w:val="04A0" w:firstRow="1" w:lastRow="0" w:firstColumn="1" w:lastColumn="0" w:noHBand="0" w:noVBand="1"/>
      </w:tblPr>
      <w:tblGrid>
        <w:gridCol w:w="460"/>
        <w:gridCol w:w="1823"/>
        <w:gridCol w:w="5645"/>
        <w:gridCol w:w="720"/>
        <w:gridCol w:w="599"/>
      </w:tblGrid>
      <w:tr w:rsidR="00FA00EA" w:rsidRPr="00FA00EA" w:rsidTr="00FA00EA">
        <w:trPr>
          <w:trHeight w:val="240"/>
        </w:trPr>
        <w:tc>
          <w:tcPr>
            <w:tcW w:w="4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A00EA" w:rsidRPr="00FA00EA" w:rsidRDefault="00FA00EA" w:rsidP="00FA00EA">
            <w:pPr>
              <w:suppressAutoHyphens w:val="0"/>
              <w:jc w:val="center"/>
              <w:rPr>
                <w:b/>
                <w:bCs/>
                <w:sz w:val="20"/>
                <w:szCs w:val="20"/>
                <w:lang w:eastAsia="ru-RU"/>
              </w:rPr>
            </w:pPr>
            <w:r w:rsidRPr="00FA00EA">
              <w:rPr>
                <w:b/>
                <w:bCs/>
                <w:sz w:val="20"/>
                <w:szCs w:val="20"/>
                <w:lang w:eastAsia="ru-RU"/>
              </w:rPr>
              <w:t>№</w:t>
            </w:r>
          </w:p>
        </w:tc>
        <w:tc>
          <w:tcPr>
            <w:tcW w:w="182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A00EA" w:rsidRPr="00FA00EA" w:rsidRDefault="00FA00EA" w:rsidP="00FA00EA">
            <w:pPr>
              <w:suppressAutoHyphens w:val="0"/>
              <w:jc w:val="center"/>
              <w:rPr>
                <w:b/>
                <w:bCs/>
                <w:sz w:val="20"/>
                <w:szCs w:val="20"/>
                <w:lang w:eastAsia="ru-RU"/>
              </w:rPr>
            </w:pPr>
            <w:r w:rsidRPr="00FA00EA">
              <w:rPr>
                <w:b/>
                <w:bCs/>
                <w:sz w:val="20"/>
                <w:szCs w:val="20"/>
                <w:lang w:eastAsia="ru-RU"/>
              </w:rPr>
              <w:t>Товар</w:t>
            </w:r>
          </w:p>
        </w:tc>
        <w:tc>
          <w:tcPr>
            <w:tcW w:w="564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A00EA" w:rsidRPr="00FA00EA" w:rsidRDefault="00FA00EA" w:rsidP="00FA00EA">
            <w:pPr>
              <w:suppressAutoHyphens w:val="0"/>
              <w:jc w:val="center"/>
              <w:rPr>
                <w:b/>
                <w:bCs/>
                <w:sz w:val="20"/>
                <w:szCs w:val="20"/>
                <w:lang w:eastAsia="ru-RU"/>
              </w:rPr>
            </w:pPr>
            <w:r w:rsidRPr="00FA00EA">
              <w:rPr>
                <w:b/>
                <w:bCs/>
                <w:sz w:val="20"/>
                <w:szCs w:val="20"/>
                <w:lang w:eastAsia="ru-RU"/>
              </w:rPr>
              <w:t>ТЗ</w:t>
            </w:r>
          </w:p>
        </w:tc>
        <w:tc>
          <w:tcPr>
            <w:tcW w:w="720"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FA00EA" w:rsidRPr="00FA00EA" w:rsidRDefault="00FA00EA" w:rsidP="00FA00EA">
            <w:pPr>
              <w:suppressAutoHyphens w:val="0"/>
              <w:jc w:val="center"/>
              <w:rPr>
                <w:b/>
                <w:bCs/>
                <w:sz w:val="20"/>
                <w:szCs w:val="20"/>
                <w:lang w:eastAsia="ru-RU"/>
              </w:rPr>
            </w:pPr>
            <w:r w:rsidRPr="00FA00EA">
              <w:rPr>
                <w:b/>
                <w:bCs/>
                <w:sz w:val="20"/>
                <w:szCs w:val="20"/>
                <w:lang w:eastAsia="ru-RU"/>
              </w:rPr>
              <w:t>Кол-во</w:t>
            </w:r>
          </w:p>
        </w:tc>
        <w:tc>
          <w:tcPr>
            <w:tcW w:w="5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0EA" w:rsidRPr="00FA00EA" w:rsidRDefault="00FA00EA" w:rsidP="00FA00EA">
            <w:pPr>
              <w:suppressAutoHyphens w:val="0"/>
              <w:jc w:val="center"/>
              <w:rPr>
                <w:b/>
                <w:bCs/>
                <w:sz w:val="20"/>
                <w:szCs w:val="20"/>
                <w:lang w:eastAsia="ru-RU"/>
              </w:rPr>
            </w:pPr>
            <w:r w:rsidRPr="00FA00EA">
              <w:rPr>
                <w:b/>
                <w:bCs/>
                <w:sz w:val="20"/>
                <w:szCs w:val="20"/>
                <w:lang w:eastAsia="ru-RU"/>
              </w:rPr>
              <w:t>Ед.</w:t>
            </w:r>
          </w:p>
        </w:tc>
      </w:tr>
      <w:tr w:rsidR="00FA00EA" w:rsidRPr="00FA00EA" w:rsidTr="00FA00EA">
        <w:trPr>
          <w:trHeight w:val="615"/>
        </w:trPr>
        <w:tc>
          <w:tcPr>
            <w:tcW w:w="460" w:type="dxa"/>
            <w:vMerge/>
            <w:tcBorders>
              <w:top w:val="single" w:sz="8" w:space="0" w:color="auto"/>
              <w:left w:val="single" w:sz="8" w:space="0" w:color="auto"/>
              <w:bottom w:val="single" w:sz="8" w:space="0" w:color="000000"/>
              <w:right w:val="single" w:sz="8" w:space="0" w:color="auto"/>
            </w:tcBorders>
            <w:vAlign w:val="center"/>
            <w:hideMark/>
          </w:tcPr>
          <w:p w:rsidR="00FA00EA" w:rsidRPr="00FA00EA" w:rsidRDefault="00FA00EA" w:rsidP="00FA00EA">
            <w:pPr>
              <w:suppressAutoHyphens w:val="0"/>
              <w:rPr>
                <w:b/>
                <w:bCs/>
                <w:sz w:val="20"/>
                <w:szCs w:val="20"/>
                <w:lang w:eastAsia="ru-RU"/>
              </w:rPr>
            </w:pPr>
          </w:p>
        </w:tc>
        <w:tc>
          <w:tcPr>
            <w:tcW w:w="1823" w:type="dxa"/>
            <w:vMerge/>
            <w:tcBorders>
              <w:top w:val="single" w:sz="8" w:space="0" w:color="auto"/>
              <w:left w:val="single" w:sz="8" w:space="0" w:color="auto"/>
              <w:bottom w:val="single" w:sz="8" w:space="0" w:color="000000"/>
              <w:right w:val="single" w:sz="8" w:space="0" w:color="auto"/>
            </w:tcBorders>
            <w:vAlign w:val="center"/>
            <w:hideMark/>
          </w:tcPr>
          <w:p w:rsidR="00FA00EA" w:rsidRPr="00FA00EA" w:rsidRDefault="00FA00EA" w:rsidP="00FA00EA">
            <w:pPr>
              <w:suppressAutoHyphens w:val="0"/>
              <w:rPr>
                <w:b/>
                <w:bCs/>
                <w:sz w:val="20"/>
                <w:szCs w:val="20"/>
                <w:lang w:eastAsia="ru-RU"/>
              </w:rPr>
            </w:pPr>
          </w:p>
        </w:tc>
        <w:tc>
          <w:tcPr>
            <w:tcW w:w="5645" w:type="dxa"/>
            <w:vMerge/>
            <w:tcBorders>
              <w:top w:val="single" w:sz="8" w:space="0" w:color="auto"/>
              <w:left w:val="single" w:sz="8" w:space="0" w:color="auto"/>
              <w:bottom w:val="single" w:sz="8" w:space="0" w:color="000000"/>
              <w:right w:val="single" w:sz="8" w:space="0" w:color="auto"/>
            </w:tcBorders>
            <w:vAlign w:val="center"/>
            <w:hideMark/>
          </w:tcPr>
          <w:p w:rsidR="00FA00EA" w:rsidRPr="00FA00EA" w:rsidRDefault="00FA00EA" w:rsidP="00FA00EA">
            <w:pPr>
              <w:suppressAutoHyphens w:val="0"/>
              <w:rPr>
                <w:b/>
                <w:bCs/>
                <w:sz w:val="20"/>
                <w:szCs w:val="20"/>
                <w:lang w:eastAsia="ru-RU"/>
              </w:rPr>
            </w:pPr>
          </w:p>
        </w:tc>
        <w:tc>
          <w:tcPr>
            <w:tcW w:w="720" w:type="dxa"/>
            <w:vMerge/>
            <w:tcBorders>
              <w:top w:val="single" w:sz="8" w:space="0" w:color="auto"/>
              <w:left w:val="single" w:sz="8" w:space="0" w:color="auto"/>
              <w:bottom w:val="single" w:sz="8" w:space="0" w:color="000000"/>
              <w:right w:val="nil"/>
            </w:tcBorders>
            <w:vAlign w:val="center"/>
            <w:hideMark/>
          </w:tcPr>
          <w:p w:rsidR="00FA00EA" w:rsidRPr="00FA00EA" w:rsidRDefault="00FA00EA" w:rsidP="00FA00EA">
            <w:pPr>
              <w:suppressAutoHyphens w:val="0"/>
              <w:rPr>
                <w:b/>
                <w:bCs/>
                <w:sz w:val="20"/>
                <w:szCs w:val="20"/>
                <w:lang w:eastAsia="ru-RU"/>
              </w:rPr>
            </w:pP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FA00EA" w:rsidRPr="00FA00EA" w:rsidRDefault="00FA00EA" w:rsidP="00FA00EA">
            <w:pPr>
              <w:suppressAutoHyphens w:val="0"/>
              <w:rPr>
                <w:b/>
                <w:bCs/>
                <w:sz w:val="20"/>
                <w:szCs w:val="20"/>
                <w:lang w:eastAsia="ru-RU"/>
              </w:rPr>
            </w:pPr>
          </w:p>
        </w:tc>
      </w:tr>
      <w:tr w:rsidR="00FA00EA" w:rsidRPr="00FA00EA" w:rsidTr="00FA00EA">
        <w:trPr>
          <w:trHeight w:val="2610"/>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rsidR="00FA00EA" w:rsidRPr="00FA00EA" w:rsidRDefault="00FA00EA" w:rsidP="00FA00EA">
            <w:pPr>
              <w:suppressAutoHyphens w:val="0"/>
              <w:jc w:val="right"/>
              <w:rPr>
                <w:sz w:val="20"/>
                <w:szCs w:val="20"/>
                <w:lang w:eastAsia="ru-RU"/>
              </w:rPr>
            </w:pPr>
            <w:r w:rsidRPr="00FA00EA">
              <w:rPr>
                <w:sz w:val="20"/>
                <w:szCs w:val="20"/>
                <w:lang w:eastAsia="ru-RU"/>
              </w:rPr>
              <w:t>1</w:t>
            </w:r>
          </w:p>
        </w:tc>
        <w:tc>
          <w:tcPr>
            <w:tcW w:w="1823" w:type="dxa"/>
            <w:tcBorders>
              <w:top w:val="nil"/>
              <w:left w:val="nil"/>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АМИЛАЗА  САПФИР (100 мл) Кат.№ 314.1.100 "Абрис+"</w:t>
            </w:r>
          </w:p>
        </w:tc>
        <w:tc>
          <w:tcPr>
            <w:tcW w:w="5645" w:type="dxa"/>
            <w:tcBorders>
              <w:top w:val="nil"/>
              <w:left w:val="single" w:sz="4" w:space="0" w:color="auto"/>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Набор реагентов и других связанных с ними материалов, предназначенный для количественного определения общей амилазы (ОА) (total amylase) в клиническом образце, с использованием метода ферментного спектрофотометрического анализа.Назначение: для анализаторов открытого типа и ручной постановки.</w:t>
            </w:r>
            <w:r w:rsidRPr="00FA00EA">
              <w:rPr>
                <w:sz w:val="20"/>
                <w:szCs w:val="20"/>
                <w:lang w:eastAsia="ru-RU"/>
              </w:rPr>
              <w:br/>
              <w:t xml:space="preserve"> Состав набора: 1. Буфер,рН 6,0 : MES - 50 ммоль/л,  NaОН - 100 ммоль/л; 2. Субстрат: G3ClpNPh - 5 ммоль/л. Реагенты стабильны в течение 12 месяцев при температуре хранения 2-8 оС.Рабочий реагент стабилен в темноте не менее 20 суток при температуре 2-8 оС.  Линейность в диапазоне от 16 до 1640 МЕ/л. Фасовка: 90+10мл.</w:t>
            </w:r>
          </w:p>
        </w:tc>
        <w:tc>
          <w:tcPr>
            <w:tcW w:w="720" w:type="dxa"/>
            <w:tcBorders>
              <w:top w:val="nil"/>
              <w:left w:val="single" w:sz="4" w:space="0" w:color="auto"/>
              <w:bottom w:val="single" w:sz="4" w:space="0" w:color="auto"/>
              <w:right w:val="nil"/>
            </w:tcBorders>
            <w:shd w:val="clear" w:color="auto" w:fill="auto"/>
            <w:noWrap/>
            <w:hideMark/>
          </w:tcPr>
          <w:p w:rsidR="00FA00EA" w:rsidRPr="00FA00EA" w:rsidRDefault="00FA00EA" w:rsidP="00FA00EA">
            <w:pPr>
              <w:suppressAutoHyphens w:val="0"/>
              <w:jc w:val="right"/>
              <w:rPr>
                <w:sz w:val="20"/>
                <w:szCs w:val="20"/>
                <w:lang w:eastAsia="ru-RU"/>
              </w:rPr>
            </w:pPr>
            <w:r w:rsidRPr="00FA00EA">
              <w:rPr>
                <w:sz w:val="20"/>
                <w:szCs w:val="20"/>
                <w:lang w:eastAsia="ru-RU"/>
              </w:rPr>
              <w:t>3</w:t>
            </w:r>
          </w:p>
        </w:tc>
        <w:tc>
          <w:tcPr>
            <w:tcW w:w="599" w:type="dxa"/>
            <w:tcBorders>
              <w:top w:val="nil"/>
              <w:left w:val="single" w:sz="4" w:space="0" w:color="auto"/>
              <w:bottom w:val="single" w:sz="4" w:space="0" w:color="auto"/>
              <w:right w:val="single" w:sz="4" w:space="0" w:color="auto"/>
            </w:tcBorders>
            <w:shd w:val="clear" w:color="auto" w:fill="auto"/>
            <w:noWrap/>
            <w:hideMark/>
          </w:tcPr>
          <w:p w:rsidR="00FA00EA" w:rsidRPr="00FA00EA" w:rsidRDefault="00FA00EA" w:rsidP="00FA00EA">
            <w:pPr>
              <w:suppressAutoHyphens w:val="0"/>
              <w:jc w:val="center"/>
              <w:rPr>
                <w:sz w:val="22"/>
                <w:szCs w:val="22"/>
                <w:lang w:eastAsia="ru-RU"/>
              </w:rPr>
            </w:pPr>
            <w:r w:rsidRPr="00FA00EA">
              <w:rPr>
                <w:sz w:val="22"/>
                <w:szCs w:val="22"/>
                <w:lang w:eastAsia="ru-RU"/>
              </w:rPr>
              <w:t>уп.</w:t>
            </w:r>
          </w:p>
        </w:tc>
      </w:tr>
      <w:tr w:rsidR="00FA00EA" w:rsidRPr="00FA00EA" w:rsidTr="00FA00EA">
        <w:trPr>
          <w:trHeight w:val="3870"/>
        </w:trPr>
        <w:tc>
          <w:tcPr>
            <w:tcW w:w="460" w:type="dxa"/>
            <w:tcBorders>
              <w:top w:val="nil"/>
              <w:left w:val="single" w:sz="4" w:space="0" w:color="auto"/>
              <w:bottom w:val="single" w:sz="4" w:space="0" w:color="auto"/>
              <w:right w:val="single" w:sz="4" w:space="0" w:color="auto"/>
            </w:tcBorders>
            <w:shd w:val="clear" w:color="auto" w:fill="auto"/>
            <w:hideMark/>
          </w:tcPr>
          <w:p w:rsidR="00FA00EA" w:rsidRPr="00FA00EA" w:rsidRDefault="00FA00EA" w:rsidP="00FA00EA">
            <w:pPr>
              <w:suppressAutoHyphens w:val="0"/>
              <w:jc w:val="right"/>
              <w:rPr>
                <w:sz w:val="20"/>
                <w:szCs w:val="20"/>
                <w:lang w:eastAsia="ru-RU"/>
              </w:rPr>
            </w:pPr>
            <w:r w:rsidRPr="00FA00EA">
              <w:rPr>
                <w:sz w:val="20"/>
                <w:szCs w:val="20"/>
                <w:lang w:eastAsia="ru-RU"/>
              </w:rPr>
              <w:t>2</w:t>
            </w:r>
          </w:p>
        </w:tc>
        <w:tc>
          <w:tcPr>
            <w:tcW w:w="1823" w:type="dxa"/>
            <w:tcBorders>
              <w:top w:val="nil"/>
              <w:left w:val="nil"/>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БИЛИРУБИН Общий АБРИС+  Кат.№ А265.1.250</w:t>
            </w:r>
          </w:p>
        </w:tc>
        <w:tc>
          <w:tcPr>
            <w:tcW w:w="5645" w:type="dxa"/>
            <w:tcBorders>
              <w:top w:val="nil"/>
              <w:left w:val="single" w:sz="4" w:space="0" w:color="auto"/>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Набор реагентов и других связанных с ними материалов, предназначенный для количественного определения общего билирубина (total bilirubin) в клиническом образце с использованием метода спектрофотометрического анализа.</w:t>
            </w:r>
            <w:r w:rsidRPr="00FA00EA">
              <w:rPr>
                <w:sz w:val="20"/>
                <w:szCs w:val="20"/>
                <w:lang w:eastAsia="ru-RU"/>
              </w:rPr>
              <w:br/>
              <w:t>Назначение: для ручной постановки и анализаторов открытого типа.</w:t>
            </w:r>
            <w:r w:rsidRPr="00FA00EA">
              <w:rPr>
                <w:sz w:val="20"/>
                <w:szCs w:val="20"/>
                <w:lang w:eastAsia="ru-RU"/>
              </w:rPr>
              <w:br/>
              <w:t>Состав набора</w:t>
            </w:r>
            <w:r w:rsidRPr="00FA00EA">
              <w:rPr>
                <w:sz w:val="20"/>
                <w:szCs w:val="20"/>
                <w:lang w:eastAsia="ru-RU"/>
              </w:rPr>
              <w:br/>
              <w:t xml:space="preserve">1. Кофеиновый реагент;2. Сульфаниловая кислота;3. Нитрит натрия; 4. Калибратор (концентрация указана на этикетке флакона).Срок годности набора - 18 месяцев со дня выпуска. </w:t>
            </w:r>
            <w:r w:rsidRPr="00FA00EA">
              <w:rPr>
                <w:sz w:val="20"/>
                <w:szCs w:val="20"/>
                <w:lang w:eastAsia="ru-RU"/>
              </w:rPr>
              <w:br/>
              <w:t>Набор стабилен после вскрытия флаконов при температуре от 2 до 8°С в течение всего срока годности. Линейность - до 500 мкмоль/л</w:t>
            </w:r>
            <w:r w:rsidRPr="00FA00EA">
              <w:rPr>
                <w:sz w:val="20"/>
                <w:szCs w:val="20"/>
                <w:lang w:eastAsia="ru-RU"/>
              </w:rPr>
              <w:br/>
              <w:t>Фасовка: 200+5х10+1+1 мл.</w:t>
            </w:r>
          </w:p>
        </w:tc>
        <w:tc>
          <w:tcPr>
            <w:tcW w:w="720" w:type="dxa"/>
            <w:tcBorders>
              <w:top w:val="nil"/>
              <w:left w:val="single" w:sz="4" w:space="0" w:color="auto"/>
              <w:bottom w:val="single" w:sz="4" w:space="0" w:color="auto"/>
              <w:right w:val="nil"/>
            </w:tcBorders>
            <w:shd w:val="clear" w:color="auto" w:fill="auto"/>
            <w:noWrap/>
            <w:hideMark/>
          </w:tcPr>
          <w:p w:rsidR="00FA00EA" w:rsidRPr="00FA00EA" w:rsidRDefault="00FA00EA" w:rsidP="00FA00EA">
            <w:pPr>
              <w:suppressAutoHyphens w:val="0"/>
              <w:jc w:val="right"/>
              <w:rPr>
                <w:sz w:val="20"/>
                <w:szCs w:val="20"/>
                <w:lang w:eastAsia="ru-RU"/>
              </w:rPr>
            </w:pPr>
            <w:r w:rsidRPr="00FA00EA">
              <w:rPr>
                <w:sz w:val="20"/>
                <w:szCs w:val="20"/>
                <w:lang w:eastAsia="ru-RU"/>
              </w:rPr>
              <w:t>5</w:t>
            </w:r>
          </w:p>
        </w:tc>
        <w:tc>
          <w:tcPr>
            <w:tcW w:w="599" w:type="dxa"/>
            <w:tcBorders>
              <w:top w:val="nil"/>
              <w:left w:val="single" w:sz="4" w:space="0" w:color="auto"/>
              <w:bottom w:val="single" w:sz="4" w:space="0" w:color="auto"/>
              <w:right w:val="single" w:sz="4" w:space="0" w:color="auto"/>
            </w:tcBorders>
            <w:shd w:val="clear" w:color="auto" w:fill="auto"/>
            <w:noWrap/>
            <w:hideMark/>
          </w:tcPr>
          <w:p w:rsidR="00FA00EA" w:rsidRPr="00FA00EA" w:rsidRDefault="00FA00EA" w:rsidP="00FA00EA">
            <w:pPr>
              <w:suppressAutoHyphens w:val="0"/>
              <w:jc w:val="center"/>
              <w:rPr>
                <w:sz w:val="22"/>
                <w:szCs w:val="22"/>
                <w:lang w:eastAsia="ru-RU"/>
              </w:rPr>
            </w:pPr>
            <w:r w:rsidRPr="00FA00EA">
              <w:rPr>
                <w:sz w:val="22"/>
                <w:szCs w:val="22"/>
                <w:lang w:eastAsia="ru-RU"/>
              </w:rPr>
              <w:t>уп.</w:t>
            </w:r>
          </w:p>
        </w:tc>
      </w:tr>
      <w:tr w:rsidR="00FA00EA" w:rsidRPr="00FA00EA" w:rsidTr="00FA00EA">
        <w:trPr>
          <w:trHeight w:val="2565"/>
        </w:trPr>
        <w:tc>
          <w:tcPr>
            <w:tcW w:w="460" w:type="dxa"/>
            <w:tcBorders>
              <w:top w:val="nil"/>
              <w:left w:val="single" w:sz="4" w:space="0" w:color="auto"/>
              <w:bottom w:val="single" w:sz="4" w:space="0" w:color="auto"/>
              <w:right w:val="single" w:sz="4" w:space="0" w:color="auto"/>
            </w:tcBorders>
            <w:shd w:val="clear" w:color="auto" w:fill="auto"/>
            <w:hideMark/>
          </w:tcPr>
          <w:p w:rsidR="00FA00EA" w:rsidRPr="00FA00EA" w:rsidRDefault="00FA00EA" w:rsidP="00FA00EA">
            <w:pPr>
              <w:suppressAutoHyphens w:val="0"/>
              <w:jc w:val="right"/>
              <w:rPr>
                <w:sz w:val="20"/>
                <w:szCs w:val="20"/>
                <w:lang w:eastAsia="ru-RU"/>
              </w:rPr>
            </w:pPr>
            <w:r w:rsidRPr="00FA00EA">
              <w:rPr>
                <w:sz w:val="20"/>
                <w:szCs w:val="20"/>
                <w:lang w:eastAsia="ru-RU"/>
              </w:rPr>
              <w:t>3</w:t>
            </w:r>
          </w:p>
        </w:tc>
        <w:tc>
          <w:tcPr>
            <w:tcW w:w="1823" w:type="dxa"/>
            <w:tcBorders>
              <w:top w:val="nil"/>
              <w:left w:val="nil"/>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ЩЕЛОЧНАЯ ФОСФАТАЗА АБРИС+   Кат. № 325.1.250 "Абрис+"</w:t>
            </w:r>
          </w:p>
        </w:tc>
        <w:tc>
          <w:tcPr>
            <w:tcW w:w="5645" w:type="dxa"/>
            <w:tcBorders>
              <w:top w:val="nil"/>
              <w:left w:val="single" w:sz="4" w:space="0" w:color="auto"/>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Набор реагентов и других связанных с ними материалов, предназначенный для количественного определенияобщей щелочной фосфатазы (ЩФ) (alkaline phosphatase (ALP)) в клиническом образце методом ферментного спектрофотометрического анализа.</w:t>
            </w:r>
            <w:r w:rsidRPr="00FA00EA">
              <w:rPr>
                <w:sz w:val="20"/>
                <w:szCs w:val="20"/>
                <w:lang w:eastAsia="ru-RU"/>
              </w:rPr>
              <w:br/>
              <w:t>Назначение: для ручной постановки и анализаторов открытого типа.</w:t>
            </w:r>
            <w:r w:rsidRPr="00FA00EA">
              <w:rPr>
                <w:sz w:val="20"/>
                <w:szCs w:val="20"/>
                <w:lang w:eastAsia="ru-RU"/>
              </w:rPr>
              <w:br/>
              <w:t xml:space="preserve"> Состав набора:1 Буфер, рН 9,8: диэтаноламин -1 моль/л, магний хлористый - 1 ммоль/л; 2 Субстрат: р-нитрофенилфосфат-  10 ммоль/л. Реагенты стабильны в течение 12 месяцев при температуре хранения 2-8 оС. Рабочий реагент стабилен 30 суток при 2-8 оС в  темноте.  Линейность - от 20 до 700 МЕ/л. Фасовка: 225+25 мл.</w:t>
            </w:r>
          </w:p>
        </w:tc>
        <w:tc>
          <w:tcPr>
            <w:tcW w:w="720" w:type="dxa"/>
            <w:tcBorders>
              <w:top w:val="nil"/>
              <w:left w:val="single" w:sz="4" w:space="0" w:color="auto"/>
              <w:bottom w:val="single" w:sz="4" w:space="0" w:color="auto"/>
              <w:right w:val="nil"/>
            </w:tcBorders>
            <w:shd w:val="clear" w:color="auto" w:fill="auto"/>
            <w:noWrap/>
            <w:hideMark/>
          </w:tcPr>
          <w:p w:rsidR="00FA00EA" w:rsidRPr="00FA00EA" w:rsidRDefault="00FA00EA" w:rsidP="00FA00EA">
            <w:pPr>
              <w:suppressAutoHyphens w:val="0"/>
              <w:jc w:val="right"/>
              <w:rPr>
                <w:sz w:val="20"/>
                <w:szCs w:val="20"/>
                <w:lang w:eastAsia="ru-RU"/>
              </w:rPr>
            </w:pPr>
            <w:r w:rsidRPr="00FA00EA">
              <w:rPr>
                <w:sz w:val="20"/>
                <w:szCs w:val="20"/>
                <w:lang w:eastAsia="ru-RU"/>
              </w:rPr>
              <w:t>1</w:t>
            </w:r>
          </w:p>
        </w:tc>
        <w:tc>
          <w:tcPr>
            <w:tcW w:w="599" w:type="dxa"/>
            <w:tcBorders>
              <w:top w:val="nil"/>
              <w:left w:val="single" w:sz="4" w:space="0" w:color="auto"/>
              <w:bottom w:val="single" w:sz="4" w:space="0" w:color="auto"/>
              <w:right w:val="single" w:sz="4" w:space="0" w:color="auto"/>
            </w:tcBorders>
            <w:shd w:val="clear" w:color="auto" w:fill="auto"/>
            <w:noWrap/>
            <w:hideMark/>
          </w:tcPr>
          <w:p w:rsidR="00FA00EA" w:rsidRPr="00FA00EA" w:rsidRDefault="00FA00EA" w:rsidP="00FA00EA">
            <w:pPr>
              <w:suppressAutoHyphens w:val="0"/>
              <w:jc w:val="center"/>
              <w:rPr>
                <w:sz w:val="22"/>
                <w:szCs w:val="22"/>
                <w:lang w:eastAsia="ru-RU"/>
              </w:rPr>
            </w:pPr>
            <w:r w:rsidRPr="00FA00EA">
              <w:rPr>
                <w:sz w:val="22"/>
                <w:szCs w:val="22"/>
                <w:lang w:eastAsia="ru-RU"/>
              </w:rPr>
              <w:t>уп.</w:t>
            </w:r>
          </w:p>
        </w:tc>
      </w:tr>
      <w:tr w:rsidR="00FA00EA" w:rsidRPr="00FA00EA" w:rsidTr="00FA00EA">
        <w:trPr>
          <w:trHeight w:val="7335"/>
        </w:trPr>
        <w:tc>
          <w:tcPr>
            <w:tcW w:w="460" w:type="dxa"/>
            <w:tcBorders>
              <w:top w:val="nil"/>
              <w:left w:val="single" w:sz="4" w:space="0" w:color="auto"/>
              <w:bottom w:val="single" w:sz="4" w:space="0" w:color="auto"/>
              <w:right w:val="single" w:sz="4" w:space="0" w:color="auto"/>
            </w:tcBorders>
            <w:shd w:val="clear" w:color="auto" w:fill="auto"/>
            <w:hideMark/>
          </w:tcPr>
          <w:p w:rsidR="00FA00EA" w:rsidRPr="00FA00EA" w:rsidRDefault="00FA00EA" w:rsidP="00FA00EA">
            <w:pPr>
              <w:suppressAutoHyphens w:val="0"/>
              <w:jc w:val="right"/>
              <w:rPr>
                <w:sz w:val="20"/>
                <w:szCs w:val="20"/>
                <w:lang w:eastAsia="ru-RU"/>
              </w:rPr>
            </w:pPr>
            <w:r w:rsidRPr="00FA00EA">
              <w:rPr>
                <w:sz w:val="20"/>
                <w:szCs w:val="20"/>
                <w:lang w:eastAsia="ru-RU"/>
              </w:rPr>
              <w:lastRenderedPageBreak/>
              <w:t>4</w:t>
            </w:r>
          </w:p>
        </w:tc>
        <w:tc>
          <w:tcPr>
            <w:tcW w:w="1823" w:type="dxa"/>
            <w:tcBorders>
              <w:top w:val="nil"/>
              <w:left w:val="nil"/>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ГГТФ АБРИС+ (  50 мл)   Кат.№ С11.5.10 "Абрис+"</w:t>
            </w:r>
          </w:p>
        </w:tc>
        <w:tc>
          <w:tcPr>
            <w:tcW w:w="5645" w:type="dxa"/>
            <w:tcBorders>
              <w:top w:val="nil"/>
              <w:left w:val="single" w:sz="4" w:space="0" w:color="auto"/>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Набор реагентов и других связанных с ними материалов, предназначенный для количественного определения гамма-глутамилтрансферазы (ГГТ) (gamma glutamyltransferase (GGT)) в клиническом образце методом ферментного спектрофотометрического анализа.</w:t>
            </w:r>
            <w:r w:rsidRPr="00FA00EA">
              <w:rPr>
                <w:sz w:val="20"/>
                <w:szCs w:val="20"/>
                <w:lang w:eastAsia="ru-RU"/>
              </w:rPr>
              <w:br/>
              <w:t>Назначение: для ручной постановки и анализаторов открытого типа.</w:t>
            </w:r>
            <w:r w:rsidRPr="00FA00EA">
              <w:rPr>
                <w:sz w:val="20"/>
                <w:szCs w:val="20"/>
                <w:lang w:eastAsia="ru-RU"/>
              </w:rPr>
              <w:br/>
              <w:t>Дополнительные характеристики:</w:t>
            </w:r>
            <w:r w:rsidRPr="00FA00EA">
              <w:rPr>
                <w:sz w:val="20"/>
                <w:szCs w:val="20"/>
                <w:lang w:eastAsia="ru-RU"/>
              </w:rPr>
              <w:br/>
              <w:t>Набор реагентов для определения активности</w:t>
            </w:r>
            <w:r w:rsidRPr="00FA00EA">
              <w:rPr>
                <w:sz w:val="20"/>
                <w:szCs w:val="20"/>
                <w:lang w:eastAsia="ru-RU"/>
              </w:rPr>
              <w:br/>
              <w:t>гамма-глутамилтрансферазы в сыворотке крови кинетическим методом.</w:t>
            </w:r>
            <w:r w:rsidRPr="00FA00EA">
              <w:rPr>
                <w:sz w:val="20"/>
                <w:szCs w:val="20"/>
                <w:lang w:eastAsia="ru-RU"/>
              </w:rPr>
              <w:br/>
              <w:t>Состав набора: 1. буфер, рН 8,0 2. Трис - 100 ммоль/л 3. Глицилглицин-150 ммоль/л. Субстрат рН 7,15: L-g-глутамил-3-карбокси-4-нитроанилид-6 ммоль/л. Линейность в диапазоне от 6 до 230 МЕ/л. Рабочий реагент стабилен не менее 14 дней при t 2-8 С. Фасовка 5х9+5х1 мл.</w:t>
            </w:r>
          </w:p>
        </w:tc>
        <w:tc>
          <w:tcPr>
            <w:tcW w:w="720" w:type="dxa"/>
            <w:tcBorders>
              <w:top w:val="nil"/>
              <w:left w:val="single" w:sz="4" w:space="0" w:color="auto"/>
              <w:bottom w:val="single" w:sz="4" w:space="0" w:color="auto"/>
              <w:right w:val="nil"/>
            </w:tcBorders>
            <w:shd w:val="clear" w:color="auto" w:fill="auto"/>
            <w:noWrap/>
            <w:hideMark/>
          </w:tcPr>
          <w:p w:rsidR="00FA00EA" w:rsidRPr="00FA00EA" w:rsidRDefault="00FA00EA" w:rsidP="00FA00EA">
            <w:pPr>
              <w:suppressAutoHyphens w:val="0"/>
              <w:jc w:val="right"/>
              <w:rPr>
                <w:sz w:val="20"/>
                <w:szCs w:val="20"/>
                <w:lang w:eastAsia="ru-RU"/>
              </w:rPr>
            </w:pPr>
            <w:r w:rsidRPr="00FA00EA">
              <w:rPr>
                <w:sz w:val="20"/>
                <w:szCs w:val="20"/>
                <w:lang w:eastAsia="ru-RU"/>
              </w:rPr>
              <w:t>1</w:t>
            </w:r>
          </w:p>
        </w:tc>
        <w:tc>
          <w:tcPr>
            <w:tcW w:w="599" w:type="dxa"/>
            <w:tcBorders>
              <w:top w:val="nil"/>
              <w:left w:val="single" w:sz="4" w:space="0" w:color="auto"/>
              <w:bottom w:val="single" w:sz="4" w:space="0" w:color="auto"/>
              <w:right w:val="single" w:sz="4" w:space="0" w:color="auto"/>
            </w:tcBorders>
            <w:shd w:val="clear" w:color="auto" w:fill="auto"/>
            <w:noWrap/>
            <w:hideMark/>
          </w:tcPr>
          <w:p w:rsidR="00FA00EA" w:rsidRPr="00FA00EA" w:rsidRDefault="00FA00EA" w:rsidP="00FA00EA">
            <w:pPr>
              <w:suppressAutoHyphens w:val="0"/>
              <w:jc w:val="center"/>
              <w:rPr>
                <w:sz w:val="22"/>
                <w:szCs w:val="22"/>
                <w:lang w:eastAsia="ru-RU"/>
              </w:rPr>
            </w:pPr>
            <w:r w:rsidRPr="00FA00EA">
              <w:rPr>
                <w:sz w:val="22"/>
                <w:szCs w:val="22"/>
                <w:lang w:eastAsia="ru-RU"/>
              </w:rPr>
              <w:t>уп.</w:t>
            </w:r>
          </w:p>
        </w:tc>
      </w:tr>
      <w:tr w:rsidR="00FA00EA" w:rsidRPr="00FA00EA" w:rsidTr="00FA00EA">
        <w:trPr>
          <w:trHeight w:val="3780"/>
        </w:trPr>
        <w:tc>
          <w:tcPr>
            <w:tcW w:w="460" w:type="dxa"/>
            <w:tcBorders>
              <w:top w:val="nil"/>
              <w:left w:val="single" w:sz="4" w:space="0" w:color="auto"/>
              <w:bottom w:val="single" w:sz="4" w:space="0" w:color="auto"/>
              <w:right w:val="single" w:sz="4" w:space="0" w:color="auto"/>
            </w:tcBorders>
            <w:shd w:val="clear" w:color="auto" w:fill="auto"/>
            <w:hideMark/>
          </w:tcPr>
          <w:p w:rsidR="00FA00EA" w:rsidRPr="00FA00EA" w:rsidRDefault="00FA00EA" w:rsidP="00FA00EA">
            <w:pPr>
              <w:suppressAutoHyphens w:val="0"/>
              <w:jc w:val="right"/>
              <w:rPr>
                <w:sz w:val="20"/>
                <w:szCs w:val="20"/>
                <w:lang w:eastAsia="ru-RU"/>
              </w:rPr>
            </w:pPr>
            <w:r w:rsidRPr="00FA00EA">
              <w:rPr>
                <w:sz w:val="20"/>
                <w:szCs w:val="20"/>
                <w:lang w:eastAsia="ru-RU"/>
              </w:rPr>
              <w:t>5</w:t>
            </w:r>
          </w:p>
        </w:tc>
        <w:tc>
          <w:tcPr>
            <w:tcW w:w="1823" w:type="dxa"/>
            <w:tcBorders>
              <w:top w:val="nil"/>
              <w:left w:val="nil"/>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АЛТ САПФИР (250 мл)  Кат.№ С12.5.50 "Абрис+"</w:t>
            </w:r>
          </w:p>
        </w:tc>
        <w:tc>
          <w:tcPr>
            <w:tcW w:w="5645" w:type="dxa"/>
            <w:tcBorders>
              <w:top w:val="nil"/>
              <w:left w:val="single" w:sz="4" w:space="0" w:color="auto"/>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Набор реагентов и других связанных с ними материалов, предназначенный для количественного определения аланинаминотрансферазы (АЛТ) (alanine aminotransferase (ALT)) в клиническом образце методом спектрофотометрического анализа.</w:t>
            </w:r>
            <w:r w:rsidRPr="00FA00EA">
              <w:rPr>
                <w:sz w:val="20"/>
                <w:szCs w:val="20"/>
                <w:lang w:eastAsia="ru-RU"/>
              </w:rPr>
              <w:br/>
              <w:t>Назначение: для ручной постановки и анализаторов открытого типа.</w:t>
            </w:r>
            <w:r w:rsidRPr="00FA00EA">
              <w:rPr>
                <w:sz w:val="20"/>
                <w:szCs w:val="20"/>
                <w:lang w:eastAsia="ru-RU"/>
              </w:rPr>
              <w:br/>
              <w:t>Состав набора: 1. Трис - 100 ммоль/л,  L-аланин - 500 ммоль/л,  ЛДГ &gt; 1200 МЕ/л; 2.  НАДН - 0,18 ммоль/л,  а-кетоглутарат - 15 ммоль/л. Компоненты набора стабильны в течение 12 мес при температуре хранения 2-8 оС. Рабочий реагент стабилен не менее 14 дней при температуре хранения 2-8 оС в герметично закрытом флаконе.  Линейность в диапазоне от 10 до 190 МЕ/л.  Фасовка: 5х45 мл+ 5х5 мл.</w:t>
            </w:r>
          </w:p>
        </w:tc>
        <w:tc>
          <w:tcPr>
            <w:tcW w:w="720" w:type="dxa"/>
            <w:tcBorders>
              <w:top w:val="nil"/>
              <w:left w:val="single" w:sz="4" w:space="0" w:color="auto"/>
              <w:bottom w:val="single" w:sz="4" w:space="0" w:color="auto"/>
              <w:right w:val="nil"/>
            </w:tcBorders>
            <w:shd w:val="clear" w:color="auto" w:fill="auto"/>
            <w:noWrap/>
            <w:hideMark/>
          </w:tcPr>
          <w:p w:rsidR="00FA00EA" w:rsidRPr="00FA00EA" w:rsidRDefault="00FA00EA" w:rsidP="00FA00EA">
            <w:pPr>
              <w:suppressAutoHyphens w:val="0"/>
              <w:jc w:val="right"/>
              <w:rPr>
                <w:sz w:val="20"/>
                <w:szCs w:val="20"/>
                <w:lang w:eastAsia="ru-RU"/>
              </w:rPr>
            </w:pPr>
            <w:r w:rsidRPr="00FA00EA">
              <w:rPr>
                <w:sz w:val="20"/>
                <w:szCs w:val="20"/>
                <w:lang w:eastAsia="ru-RU"/>
              </w:rPr>
              <w:t>7</w:t>
            </w:r>
          </w:p>
        </w:tc>
        <w:tc>
          <w:tcPr>
            <w:tcW w:w="599" w:type="dxa"/>
            <w:tcBorders>
              <w:top w:val="nil"/>
              <w:left w:val="single" w:sz="4" w:space="0" w:color="auto"/>
              <w:bottom w:val="single" w:sz="4" w:space="0" w:color="auto"/>
              <w:right w:val="single" w:sz="4" w:space="0" w:color="auto"/>
            </w:tcBorders>
            <w:shd w:val="clear" w:color="auto" w:fill="auto"/>
            <w:noWrap/>
            <w:hideMark/>
          </w:tcPr>
          <w:p w:rsidR="00FA00EA" w:rsidRPr="00FA00EA" w:rsidRDefault="00FA00EA" w:rsidP="00FA00EA">
            <w:pPr>
              <w:suppressAutoHyphens w:val="0"/>
              <w:jc w:val="center"/>
              <w:rPr>
                <w:sz w:val="22"/>
                <w:szCs w:val="22"/>
                <w:lang w:eastAsia="ru-RU"/>
              </w:rPr>
            </w:pPr>
            <w:r w:rsidRPr="00FA00EA">
              <w:rPr>
                <w:sz w:val="22"/>
                <w:szCs w:val="22"/>
                <w:lang w:eastAsia="ru-RU"/>
              </w:rPr>
              <w:t>уп.</w:t>
            </w:r>
          </w:p>
        </w:tc>
      </w:tr>
      <w:tr w:rsidR="00FA00EA" w:rsidRPr="00FA00EA" w:rsidTr="00FA00EA">
        <w:trPr>
          <w:trHeight w:val="4455"/>
        </w:trPr>
        <w:tc>
          <w:tcPr>
            <w:tcW w:w="460" w:type="dxa"/>
            <w:tcBorders>
              <w:top w:val="nil"/>
              <w:left w:val="single" w:sz="4" w:space="0" w:color="auto"/>
              <w:bottom w:val="single" w:sz="4" w:space="0" w:color="auto"/>
              <w:right w:val="single" w:sz="4" w:space="0" w:color="auto"/>
            </w:tcBorders>
            <w:shd w:val="clear" w:color="auto" w:fill="auto"/>
            <w:hideMark/>
          </w:tcPr>
          <w:p w:rsidR="00FA00EA" w:rsidRPr="00FA00EA" w:rsidRDefault="00FA00EA" w:rsidP="00FA00EA">
            <w:pPr>
              <w:suppressAutoHyphens w:val="0"/>
              <w:jc w:val="right"/>
              <w:rPr>
                <w:sz w:val="20"/>
                <w:szCs w:val="20"/>
                <w:lang w:eastAsia="ru-RU"/>
              </w:rPr>
            </w:pPr>
            <w:r w:rsidRPr="00FA00EA">
              <w:rPr>
                <w:sz w:val="20"/>
                <w:szCs w:val="20"/>
                <w:lang w:eastAsia="ru-RU"/>
              </w:rPr>
              <w:lastRenderedPageBreak/>
              <w:t>6</w:t>
            </w:r>
          </w:p>
        </w:tc>
        <w:tc>
          <w:tcPr>
            <w:tcW w:w="1823" w:type="dxa"/>
            <w:tcBorders>
              <w:top w:val="nil"/>
              <w:left w:val="nil"/>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АСТ САПФИР (250 мл)  Кат.№ С13.5.50 "Абрис+"</w:t>
            </w:r>
          </w:p>
        </w:tc>
        <w:tc>
          <w:tcPr>
            <w:tcW w:w="5645" w:type="dxa"/>
            <w:tcBorders>
              <w:top w:val="nil"/>
              <w:left w:val="single" w:sz="4" w:space="0" w:color="auto"/>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Набор реагентов и других связанных с ними материалов, предназначенный для количественного определения общей аминотрансферазы (АСТ) (aspartate aminotransferase (AST)) в клиническом образце методом ферментного спектрофотометрического анализа.</w:t>
            </w:r>
            <w:r w:rsidRPr="00FA00EA">
              <w:rPr>
                <w:sz w:val="20"/>
                <w:szCs w:val="20"/>
                <w:lang w:eastAsia="ru-RU"/>
              </w:rPr>
              <w:br/>
              <w:t>Назначение: Для ручной постановки анализа и анализаторов открытого типа</w:t>
            </w:r>
            <w:r w:rsidRPr="00FA00EA">
              <w:rPr>
                <w:sz w:val="20"/>
                <w:szCs w:val="20"/>
                <w:lang w:eastAsia="ru-RU"/>
              </w:rPr>
              <w:br/>
              <w:t xml:space="preserve"> Состав набора: 1. Трис - 80 ммоль/л,  L-аспартат - 240 ммоль/л,  МДГ &gt; 600 МЕ/л,  ЛДГ &gt; 600 МЕ/л; 2. НАДН - 0,18 ммоль/л, а- кетоглутарат - 15 ммоль/л. Компоненты набора стабильны в течение 12 мес при температуре хранения 2-8 оС. Рабочий реагент стабилен не более 14 дней при постоянной температуре хранения 2-8 оС в герметично закрытом флаконе и не более одного рабочего дня при температуре хранения 37 оС.  Линейность в диапазоне от 10 до 190 МЕ/л. Фасовка 5х45мл+ 5х5 мл.</w:t>
            </w:r>
          </w:p>
        </w:tc>
        <w:tc>
          <w:tcPr>
            <w:tcW w:w="720" w:type="dxa"/>
            <w:tcBorders>
              <w:top w:val="nil"/>
              <w:left w:val="single" w:sz="4" w:space="0" w:color="auto"/>
              <w:bottom w:val="single" w:sz="4" w:space="0" w:color="auto"/>
              <w:right w:val="nil"/>
            </w:tcBorders>
            <w:shd w:val="clear" w:color="auto" w:fill="auto"/>
            <w:noWrap/>
            <w:hideMark/>
          </w:tcPr>
          <w:p w:rsidR="00FA00EA" w:rsidRPr="00FA00EA" w:rsidRDefault="00FA00EA" w:rsidP="00FA00EA">
            <w:pPr>
              <w:suppressAutoHyphens w:val="0"/>
              <w:jc w:val="right"/>
              <w:rPr>
                <w:sz w:val="20"/>
                <w:szCs w:val="20"/>
                <w:lang w:eastAsia="ru-RU"/>
              </w:rPr>
            </w:pPr>
            <w:r w:rsidRPr="00FA00EA">
              <w:rPr>
                <w:sz w:val="20"/>
                <w:szCs w:val="20"/>
                <w:lang w:eastAsia="ru-RU"/>
              </w:rPr>
              <w:t>7</w:t>
            </w:r>
          </w:p>
        </w:tc>
        <w:tc>
          <w:tcPr>
            <w:tcW w:w="599" w:type="dxa"/>
            <w:tcBorders>
              <w:top w:val="nil"/>
              <w:left w:val="single" w:sz="4" w:space="0" w:color="auto"/>
              <w:bottom w:val="single" w:sz="4" w:space="0" w:color="auto"/>
              <w:right w:val="single" w:sz="4" w:space="0" w:color="auto"/>
            </w:tcBorders>
            <w:shd w:val="clear" w:color="auto" w:fill="auto"/>
            <w:noWrap/>
            <w:hideMark/>
          </w:tcPr>
          <w:p w:rsidR="00FA00EA" w:rsidRPr="00FA00EA" w:rsidRDefault="00FA00EA" w:rsidP="00FA00EA">
            <w:pPr>
              <w:suppressAutoHyphens w:val="0"/>
              <w:jc w:val="center"/>
              <w:rPr>
                <w:sz w:val="22"/>
                <w:szCs w:val="22"/>
                <w:lang w:eastAsia="ru-RU"/>
              </w:rPr>
            </w:pPr>
            <w:r w:rsidRPr="00FA00EA">
              <w:rPr>
                <w:sz w:val="22"/>
                <w:szCs w:val="22"/>
                <w:lang w:eastAsia="ru-RU"/>
              </w:rPr>
              <w:t>уп.</w:t>
            </w:r>
          </w:p>
        </w:tc>
      </w:tr>
      <w:tr w:rsidR="00FA00EA" w:rsidRPr="00FA00EA" w:rsidTr="00FA00EA">
        <w:trPr>
          <w:trHeight w:val="4125"/>
        </w:trPr>
        <w:tc>
          <w:tcPr>
            <w:tcW w:w="460" w:type="dxa"/>
            <w:tcBorders>
              <w:top w:val="nil"/>
              <w:left w:val="single" w:sz="4" w:space="0" w:color="auto"/>
              <w:bottom w:val="single" w:sz="4" w:space="0" w:color="auto"/>
              <w:right w:val="single" w:sz="4" w:space="0" w:color="auto"/>
            </w:tcBorders>
            <w:shd w:val="clear" w:color="auto" w:fill="auto"/>
            <w:hideMark/>
          </w:tcPr>
          <w:p w:rsidR="00FA00EA" w:rsidRPr="00FA00EA" w:rsidRDefault="00FA00EA" w:rsidP="00FA00EA">
            <w:pPr>
              <w:suppressAutoHyphens w:val="0"/>
              <w:jc w:val="right"/>
              <w:rPr>
                <w:sz w:val="20"/>
                <w:szCs w:val="20"/>
                <w:lang w:eastAsia="ru-RU"/>
              </w:rPr>
            </w:pPr>
            <w:r w:rsidRPr="00FA00EA">
              <w:rPr>
                <w:sz w:val="20"/>
                <w:szCs w:val="20"/>
                <w:lang w:eastAsia="ru-RU"/>
              </w:rPr>
              <w:t>7</w:t>
            </w:r>
          </w:p>
        </w:tc>
        <w:tc>
          <w:tcPr>
            <w:tcW w:w="1823" w:type="dxa"/>
            <w:tcBorders>
              <w:top w:val="nil"/>
              <w:left w:val="nil"/>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ДИАХИМ-ОБЩИЙ БЕЛОК  Кат.№ 306.1.250 К "Абрис+"</w:t>
            </w:r>
          </w:p>
        </w:tc>
        <w:tc>
          <w:tcPr>
            <w:tcW w:w="5645" w:type="dxa"/>
            <w:tcBorders>
              <w:top w:val="nil"/>
              <w:left w:val="single" w:sz="4" w:space="0" w:color="auto"/>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Общий белок ИВД, набор, спектрофотометрический анализ Набор реагентов и других связанных с ними материалов, предназначенный для количественного определения общего белка (total protein) в клиническом образце методом спектрофотометрического анализа.</w:t>
            </w:r>
            <w:r w:rsidRPr="00FA00EA">
              <w:rPr>
                <w:sz w:val="20"/>
                <w:szCs w:val="20"/>
                <w:lang w:eastAsia="ru-RU"/>
              </w:rPr>
              <w:br/>
              <w:t>Назначение: для ручной постановки и анализаторов открытого типа.</w:t>
            </w:r>
            <w:r w:rsidRPr="00FA00EA">
              <w:rPr>
                <w:sz w:val="20"/>
                <w:szCs w:val="20"/>
                <w:lang w:eastAsia="ru-RU"/>
              </w:rPr>
              <w:br/>
              <w:t xml:space="preserve"> Состав набора: 1. Монореагент: NaOH-100ммоль/л, KI - 15 ммоль/л, KNaC4H4O6 - 21 ммоль/л, CuSO4 - 6 ммоль/л; 2. Калибратор : альбумин бычий сывороточный - 70 г/л. Полученный после приготовления монореагент стабилен в течение 24 месяцев при температуре 18-25 оС в темноте.  Линейность в диапазоне от 14 до 100 г/л. Фасовка -  250 мл (5-тикратный концентрат) + 2мл калибратор.</w:t>
            </w:r>
          </w:p>
        </w:tc>
        <w:tc>
          <w:tcPr>
            <w:tcW w:w="720" w:type="dxa"/>
            <w:tcBorders>
              <w:top w:val="nil"/>
              <w:left w:val="single" w:sz="4" w:space="0" w:color="auto"/>
              <w:bottom w:val="single" w:sz="4" w:space="0" w:color="auto"/>
              <w:right w:val="nil"/>
            </w:tcBorders>
            <w:shd w:val="clear" w:color="auto" w:fill="auto"/>
            <w:noWrap/>
            <w:hideMark/>
          </w:tcPr>
          <w:p w:rsidR="00FA00EA" w:rsidRPr="00FA00EA" w:rsidRDefault="00FA00EA" w:rsidP="00FA00EA">
            <w:pPr>
              <w:suppressAutoHyphens w:val="0"/>
              <w:jc w:val="right"/>
              <w:rPr>
                <w:sz w:val="20"/>
                <w:szCs w:val="20"/>
                <w:lang w:eastAsia="ru-RU"/>
              </w:rPr>
            </w:pPr>
            <w:r w:rsidRPr="00FA00EA">
              <w:rPr>
                <w:sz w:val="20"/>
                <w:szCs w:val="20"/>
                <w:lang w:eastAsia="ru-RU"/>
              </w:rPr>
              <w:t>2</w:t>
            </w:r>
          </w:p>
        </w:tc>
        <w:tc>
          <w:tcPr>
            <w:tcW w:w="599" w:type="dxa"/>
            <w:tcBorders>
              <w:top w:val="nil"/>
              <w:left w:val="single" w:sz="4" w:space="0" w:color="auto"/>
              <w:bottom w:val="single" w:sz="4" w:space="0" w:color="auto"/>
              <w:right w:val="single" w:sz="4" w:space="0" w:color="auto"/>
            </w:tcBorders>
            <w:shd w:val="clear" w:color="auto" w:fill="auto"/>
            <w:noWrap/>
            <w:hideMark/>
          </w:tcPr>
          <w:p w:rsidR="00FA00EA" w:rsidRPr="00FA00EA" w:rsidRDefault="00FA00EA" w:rsidP="00FA00EA">
            <w:pPr>
              <w:suppressAutoHyphens w:val="0"/>
              <w:jc w:val="center"/>
              <w:rPr>
                <w:sz w:val="22"/>
                <w:szCs w:val="22"/>
                <w:lang w:eastAsia="ru-RU"/>
              </w:rPr>
            </w:pPr>
            <w:r w:rsidRPr="00FA00EA">
              <w:rPr>
                <w:sz w:val="22"/>
                <w:szCs w:val="22"/>
                <w:lang w:eastAsia="ru-RU"/>
              </w:rPr>
              <w:t>уп.</w:t>
            </w:r>
          </w:p>
        </w:tc>
      </w:tr>
      <w:tr w:rsidR="00FA00EA" w:rsidRPr="00FA00EA" w:rsidTr="00FA00EA">
        <w:trPr>
          <w:trHeight w:val="6510"/>
        </w:trPr>
        <w:tc>
          <w:tcPr>
            <w:tcW w:w="460" w:type="dxa"/>
            <w:tcBorders>
              <w:top w:val="nil"/>
              <w:left w:val="single" w:sz="4" w:space="0" w:color="auto"/>
              <w:bottom w:val="single" w:sz="4" w:space="0" w:color="auto"/>
              <w:right w:val="single" w:sz="4" w:space="0" w:color="auto"/>
            </w:tcBorders>
            <w:shd w:val="clear" w:color="auto" w:fill="auto"/>
            <w:hideMark/>
          </w:tcPr>
          <w:p w:rsidR="00FA00EA" w:rsidRPr="00FA00EA" w:rsidRDefault="00FA00EA" w:rsidP="00FA00EA">
            <w:pPr>
              <w:suppressAutoHyphens w:val="0"/>
              <w:jc w:val="right"/>
              <w:rPr>
                <w:sz w:val="20"/>
                <w:szCs w:val="20"/>
                <w:lang w:eastAsia="ru-RU"/>
              </w:rPr>
            </w:pPr>
            <w:r w:rsidRPr="00FA00EA">
              <w:rPr>
                <w:sz w:val="20"/>
                <w:szCs w:val="20"/>
                <w:lang w:eastAsia="ru-RU"/>
              </w:rPr>
              <w:lastRenderedPageBreak/>
              <w:t>8</w:t>
            </w:r>
          </w:p>
        </w:tc>
        <w:tc>
          <w:tcPr>
            <w:tcW w:w="1823" w:type="dxa"/>
            <w:tcBorders>
              <w:top w:val="nil"/>
              <w:left w:val="nil"/>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МОЧЕВИНА САПФИР  (100 мл)  Кат.№ С21.5.20 "Абрис+"</w:t>
            </w:r>
          </w:p>
        </w:tc>
        <w:tc>
          <w:tcPr>
            <w:tcW w:w="5645" w:type="dxa"/>
            <w:tcBorders>
              <w:top w:val="nil"/>
              <w:left w:val="single" w:sz="4" w:space="0" w:color="auto"/>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Набор реагентов и других связанных с ними материалов, предназначенный для качественного и/или количественного определения мочевины/азота мочевины в крови (blood urea nitrogen (BUN)) и/или в других биологических жидкостях в клиническом образце методом ферментного спектрофотометрического анализа. Он обычно применяется в качестве показателя функции почек и/или для дифференциации между преренальной и постренальной азотемией.</w:t>
            </w:r>
            <w:r w:rsidRPr="00FA00EA">
              <w:rPr>
                <w:sz w:val="20"/>
                <w:szCs w:val="20"/>
                <w:lang w:eastAsia="ru-RU"/>
              </w:rPr>
              <w:br/>
              <w:t>Назначение: для ручной постановки и анализаторов открытого типа.</w:t>
            </w:r>
            <w:r w:rsidRPr="00FA00EA">
              <w:rPr>
                <w:sz w:val="20"/>
                <w:szCs w:val="20"/>
                <w:lang w:eastAsia="ru-RU"/>
              </w:rPr>
              <w:br/>
              <w:t>Дополнительные характеристики:</w:t>
            </w:r>
            <w:r w:rsidRPr="00FA00EA">
              <w:rPr>
                <w:sz w:val="20"/>
                <w:szCs w:val="20"/>
                <w:lang w:eastAsia="ru-RU"/>
              </w:rPr>
              <w:br/>
              <w:t>Набор реагентов для определения содержания мочевины в биологических жидкостях энзиматическим псевдокинетическим UV-методом.</w:t>
            </w:r>
            <w:r w:rsidRPr="00FA00EA">
              <w:rPr>
                <w:sz w:val="20"/>
                <w:szCs w:val="20"/>
                <w:lang w:eastAsia="ru-RU"/>
              </w:rPr>
              <w:br/>
              <w:t>Состав набора: 1 Трис - 100 ммоль/л, а-кетоглутарат - 15 ммоль/л,  Уреаза &gt;= 12000 МЕ/л,  Глутаматдегидрогеназа &gt;= 1500 МЕ/л; 2. Раствор НАДН: НАДН - 0,18 ммоль/л; 3 Калибратор(мочевина) - 13,3 ммоль/л. Все компоненты набора стабильны при температуре хранения 2-8 оС в течение 12 мес. Рабочий реагент стабилен не менее 14 суток при температуре хранения 2-8 оС в герметично закрытом флаконе в темноте.  Линейность в диапазоне от 1,0 до 33,3 ммоль/л. Фасовка - 5х18 + 5х2 мл.</w:t>
            </w:r>
          </w:p>
        </w:tc>
        <w:tc>
          <w:tcPr>
            <w:tcW w:w="720" w:type="dxa"/>
            <w:tcBorders>
              <w:top w:val="nil"/>
              <w:left w:val="single" w:sz="4" w:space="0" w:color="auto"/>
              <w:bottom w:val="single" w:sz="4" w:space="0" w:color="auto"/>
              <w:right w:val="nil"/>
            </w:tcBorders>
            <w:shd w:val="clear" w:color="auto" w:fill="auto"/>
            <w:noWrap/>
            <w:hideMark/>
          </w:tcPr>
          <w:p w:rsidR="00FA00EA" w:rsidRPr="00FA00EA" w:rsidRDefault="00FA00EA" w:rsidP="00FA00EA">
            <w:pPr>
              <w:suppressAutoHyphens w:val="0"/>
              <w:jc w:val="right"/>
              <w:rPr>
                <w:sz w:val="20"/>
                <w:szCs w:val="20"/>
                <w:lang w:eastAsia="ru-RU"/>
              </w:rPr>
            </w:pPr>
            <w:r w:rsidRPr="00FA00EA">
              <w:rPr>
                <w:sz w:val="20"/>
                <w:szCs w:val="20"/>
                <w:lang w:eastAsia="ru-RU"/>
              </w:rPr>
              <w:t>5</w:t>
            </w:r>
          </w:p>
        </w:tc>
        <w:tc>
          <w:tcPr>
            <w:tcW w:w="599" w:type="dxa"/>
            <w:tcBorders>
              <w:top w:val="nil"/>
              <w:left w:val="single" w:sz="4" w:space="0" w:color="auto"/>
              <w:bottom w:val="single" w:sz="4" w:space="0" w:color="auto"/>
              <w:right w:val="single" w:sz="4" w:space="0" w:color="auto"/>
            </w:tcBorders>
            <w:shd w:val="clear" w:color="auto" w:fill="auto"/>
            <w:noWrap/>
            <w:hideMark/>
          </w:tcPr>
          <w:p w:rsidR="00FA00EA" w:rsidRPr="00FA00EA" w:rsidRDefault="00FA00EA" w:rsidP="00FA00EA">
            <w:pPr>
              <w:suppressAutoHyphens w:val="0"/>
              <w:jc w:val="center"/>
              <w:rPr>
                <w:sz w:val="22"/>
                <w:szCs w:val="22"/>
                <w:lang w:eastAsia="ru-RU"/>
              </w:rPr>
            </w:pPr>
            <w:r w:rsidRPr="00FA00EA">
              <w:rPr>
                <w:sz w:val="22"/>
                <w:szCs w:val="22"/>
                <w:lang w:eastAsia="ru-RU"/>
              </w:rPr>
              <w:t>уп.</w:t>
            </w:r>
          </w:p>
        </w:tc>
      </w:tr>
      <w:tr w:rsidR="00FA00EA" w:rsidRPr="00FA00EA" w:rsidTr="00FA00EA">
        <w:trPr>
          <w:trHeight w:val="2745"/>
        </w:trPr>
        <w:tc>
          <w:tcPr>
            <w:tcW w:w="460" w:type="dxa"/>
            <w:tcBorders>
              <w:top w:val="nil"/>
              <w:left w:val="single" w:sz="4" w:space="0" w:color="auto"/>
              <w:bottom w:val="single" w:sz="4" w:space="0" w:color="auto"/>
              <w:right w:val="single" w:sz="4" w:space="0" w:color="auto"/>
            </w:tcBorders>
            <w:shd w:val="clear" w:color="auto" w:fill="auto"/>
            <w:hideMark/>
          </w:tcPr>
          <w:p w:rsidR="00FA00EA" w:rsidRPr="00FA00EA" w:rsidRDefault="00FA00EA" w:rsidP="00FA00EA">
            <w:pPr>
              <w:suppressAutoHyphens w:val="0"/>
              <w:jc w:val="right"/>
              <w:rPr>
                <w:sz w:val="20"/>
                <w:szCs w:val="20"/>
                <w:lang w:eastAsia="ru-RU"/>
              </w:rPr>
            </w:pPr>
            <w:r w:rsidRPr="00FA00EA">
              <w:rPr>
                <w:sz w:val="20"/>
                <w:szCs w:val="20"/>
                <w:lang w:eastAsia="ru-RU"/>
              </w:rPr>
              <w:t>9</w:t>
            </w:r>
          </w:p>
        </w:tc>
        <w:tc>
          <w:tcPr>
            <w:tcW w:w="1823" w:type="dxa"/>
            <w:tcBorders>
              <w:top w:val="nil"/>
              <w:left w:val="nil"/>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МОЧЕВАЯ КИСЛОТА АБРИС+  (100мл)  Кат.№ С30.5.20  "Абрис+"  (UR-PAP)</w:t>
            </w:r>
          </w:p>
        </w:tc>
        <w:tc>
          <w:tcPr>
            <w:tcW w:w="5645" w:type="dxa"/>
            <w:tcBorders>
              <w:top w:val="nil"/>
              <w:left w:val="single" w:sz="4" w:space="0" w:color="auto"/>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 xml:space="preserve">Набор реагентов для определения содержания </w:t>
            </w:r>
            <w:r w:rsidRPr="00FA00EA">
              <w:rPr>
                <w:sz w:val="20"/>
                <w:szCs w:val="20"/>
                <w:lang w:eastAsia="ru-RU"/>
              </w:rPr>
              <w:br/>
              <w:t xml:space="preserve">мочевой кислоты в биологических жидкостях  энзиматическим колориметрическим </w:t>
            </w:r>
            <w:r w:rsidRPr="00FA00EA">
              <w:rPr>
                <w:sz w:val="20"/>
                <w:szCs w:val="20"/>
                <w:lang w:eastAsia="ru-RU"/>
              </w:rPr>
              <w:br/>
              <w:t>методом без депротеинизации.</w:t>
            </w:r>
            <w:r w:rsidRPr="00FA00EA">
              <w:rPr>
                <w:sz w:val="20"/>
                <w:szCs w:val="20"/>
                <w:lang w:eastAsia="ru-RU"/>
              </w:rPr>
              <w:br/>
              <w:t xml:space="preserve"> Состав набора:1. Фосфатный буфер, 100 ммоль/л,рН 7,8: 3,5-дихлоро-2-фенолсульфонат -5 ммоль/л,  детергент 2 г/л;  2. Раствор ферментов: уриказа-300 МЕ/л, пероксидаза-1000 МЕ/л, 4- аминоантипирин- 1 ммоль/л; 3. Калибратор: мочевая кислота - 595 мкмоль/л. Реагенты стабильны при температуре хранения 2-8 оС в течение 12 месяцев. Линейность в диапазоне от 35 до 1500 мкмоль/л.Фасовка: 5х18мл + 5х2мл</w:t>
            </w:r>
          </w:p>
        </w:tc>
        <w:tc>
          <w:tcPr>
            <w:tcW w:w="720" w:type="dxa"/>
            <w:tcBorders>
              <w:top w:val="nil"/>
              <w:left w:val="single" w:sz="4" w:space="0" w:color="auto"/>
              <w:bottom w:val="single" w:sz="4" w:space="0" w:color="auto"/>
              <w:right w:val="nil"/>
            </w:tcBorders>
            <w:shd w:val="clear" w:color="auto" w:fill="auto"/>
            <w:noWrap/>
            <w:hideMark/>
          </w:tcPr>
          <w:p w:rsidR="00FA00EA" w:rsidRPr="00FA00EA" w:rsidRDefault="00FA00EA" w:rsidP="00FA00EA">
            <w:pPr>
              <w:suppressAutoHyphens w:val="0"/>
              <w:jc w:val="right"/>
              <w:rPr>
                <w:sz w:val="20"/>
                <w:szCs w:val="20"/>
                <w:lang w:eastAsia="ru-RU"/>
              </w:rPr>
            </w:pPr>
            <w:r w:rsidRPr="00FA00EA">
              <w:rPr>
                <w:sz w:val="20"/>
                <w:szCs w:val="20"/>
                <w:lang w:eastAsia="ru-RU"/>
              </w:rPr>
              <w:t>6</w:t>
            </w:r>
          </w:p>
        </w:tc>
        <w:tc>
          <w:tcPr>
            <w:tcW w:w="599" w:type="dxa"/>
            <w:tcBorders>
              <w:top w:val="nil"/>
              <w:left w:val="single" w:sz="4" w:space="0" w:color="auto"/>
              <w:bottom w:val="single" w:sz="4" w:space="0" w:color="auto"/>
              <w:right w:val="single" w:sz="4" w:space="0" w:color="auto"/>
            </w:tcBorders>
            <w:shd w:val="clear" w:color="auto" w:fill="auto"/>
            <w:noWrap/>
            <w:hideMark/>
          </w:tcPr>
          <w:p w:rsidR="00FA00EA" w:rsidRPr="00FA00EA" w:rsidRDefault="00FA00EA" w:rsidP="00FA00EA">
            <w:pPr>
              <w:suppressAutoHyphens w:val="0"/>
              <w:jc w:val="center"/>
              <w:rPr>
                <w:sz w:val="22"/>
                <w:szCs w:val="22"/>
                <w:lang w:eastAsia="ru-RU"/>
              </w:rPr>
            </w:pPr>
            <w:r w:rsidRPr="00FA00EA">
              <w:rPr>
                <w:sz w:val="22"/>
                <w:szCs w:val="22"/>
                <w:lang w:eastAsia="ru-RU"/>
              </w:rPr>
              <w:t>уп.</w:t>
            </w:r>
          </w:p>
        </w:tc>
      </w:tr>
      <w:tr w:rsidR="00FA00EA" w:rsidRPr="00FA00EA" w:rsidTr="00FA00EA">
        <w:trPr>
          <w:trHeight w:val="5235"/>
        </w:trPr>
        <w:tc>
          <w:tcPr>
            <w:tcW w:w="460" w:type="dxa"/>
            <w:tcBorders>
              <w:top w:val="nil"/>
              <w:left w:val="single" w:sz="4" w:space="0" w:color="auto"/>
              <w:bottom w:val="single" w:sz="4" w:space="0" w:color="auto"/>
              <w:right w:val="single" w:sz="4" w:space="0" w:color="auto"/>
            </w:tcBorders>
            <w:shd w:val="clear" w:color="auto" w:fill="auto"/>
            <w:hideMark/>
          </w:tcPr>
          <w:p w:rsidR="00FA00EA" w:rsidRPr="00FA00EA" w:rsidRDefault="00FA00EA" w:rsidP="00FA00EA">
            <w:pPr>
              <w:suppressAutoHyphens w:val="0"/>
              <w:jc w:val="right"/>
              <w:rPr>
                <w:sz w:val="20"/>
                <w:szCs w:val="20"/>
                <w:lang w:eastAsia="ru-RU"/>
              </w:rPr>
            </w:pPr>
            <w:r w:rsidRPr="00FA00EA">
              <w:rPr>
                <w:sz w:val="20"/>
                <w:szCs w:val="20"/>
                <w:lang w:eastAsia="ru-RU"/>
              </w:rPr>
              <w:t>10</w:t>
            </w:r>
          </w:p>
        </w:tc>
        <w:tc>
          <w:tcPr>
            <w:tcW w:w="1823" w:type="dxa"/>
            <w:tcBorders>
              <w:top w:val="nil"/>
              <w:left w:val="nil"/>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КРЕАТИНИН САПФИР  (500 мл)  Кат.№ 316.1.500 "Абрис+"</w:t>
            </w:r>
          </w:p>
        </w:tc>
        <w:tc>
          <w:tcPr>
            <w:tcW w:w="5645" w:type="dxa"/>
            <w:tcBorders>
              <w:top w:val="nil"/>
              <w:left w:val="single" w:sz="4" w:space="0" w:color="auto"/>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Креатинин ИВД, набор, спектрофотометрический анализ Набор реагентов и других связанных с ними материалов, предназначенный для количественного определения креатинина (creatinine) в клиническом образце методом спектрофотометрического анализа.</w:t>
            </w:r>
            <w:r w:rsidRPr="00FA00EA">
              <w:rPr>
                <w:sz w:val="20"/>
                <w:szCs w:val="20"/>
                <w:lang w:eastAsia="ru-RU"/>
              </w:rPr>
              <w:br/>
              <w:t>Назначение: для ручной постановки и анализаторов открытого типа.</w:t>
            </w:r>
            <w:r w:rsidRPr="00FA00EA">
              <w:rPr>
                <w:sz w:val="20"/>
                <w:szCs w:val="20"/>
                <w:lang w:eastAsia="ru-RU"/>
              </w:rPr>
              <w:br/>
              <w:t>Дополнительные характеристики:</w:t>
            </w:r>
            <w:r w:rsidRPr="00FA00EA">
              <w:rPr>
                <w:sz w:val="20"/>
                <w:szCs w:val="20"/>
                <w:lang w:eastAsia="ru-RU"/>
              </w:rPr>
              <w:br/>
              <w:t>Набор реагентов для определения содержания креатинина в биологических жидкостях псевдокинетическим методом Яффе без депротеинизации. Состав набора: 1. Пикриновая кислота - 9 ммоль/л; 2. Натрий едкий - 0,35 моль/л; 3. Калибратор-177 мкмоль/л. Реагенты стабильны в течение 18 месяцев при температуре 18-25 оС. Рабочий реагент стабилен не менее 21 дня при температуре хранения 18-25 оС в герметично закрытом флаконе в темноте. Линейность: в сыворотке/плазме в диапазоне  от 5 до 885 ммоль/л; в моче в диапазоне от 0,25 до 44,2 ммоль/л. Фасовка -  500мл.</w:t>
            </w:r>
          </w:p>
        </w:tc>
        <w:tc>
          <w:tcPr>
            <w:tcW w:w="720" w:type="dxa"/>
            <w:tcBorders>
              <w:top w:val="nil"/>
              <w:left w:val="single" w:sz="4" w:space="0" w:color="auto"/>
              <w:bottom w:val="single" w:sz="4" w:space="0" w:color="auto"/>
              <w:right w:val="nil"/>
            </w:tcBorders>
            <w:shd w:val="clear" w:color="auto" w:fill="auto"/>
            <w:noWrap/>
            <w:hideMark/>
          </w:tcPr>
          <w:p w:rsidR="00FA00EA" w:rsidRPr="00FA00EA" w:rsidRDefault="00FA00EA" w:rsidP="00FA00EA">
            <w:pPr>
              <w:suppressAutoHyphens w:val="0"/>
              <w:jc w:val="right"/>
              <w:rPr>
                <w:sz w:val="20"/>
                <w:szCs w:val="20"/>
                <w:lang w:eastAsia="ru-RU"/>
              </w:rPr>
            </w:pPr>
            <w:r w:rsidRPr="00FA00EA">
              <w:rPr>
                <w:sz w:val="20"/>
                <w:szCs w:val="20"/>
                <w:lang w:eastAsia="ru-RU"/>
              </w:rPr>
              <w:t>4</w:t>
            </w:r>
          </w:p>
        </w:tc>
        <w:tc>
          <w:tcPr>
            <w:tcW w:w="599" w:type="dxa"/>
            <w:tcBorders>
              <w:top w:val="nil"/>
              <w:left w:val="single" w:sz="4" w:space="0" w:color="auto"/>
              <w:bottom w:val="single" w:sz="4" w:space="0" w:color="auto"/>
              <w:right w:val="single" w:sz="4" w:space="0" w:color="auto"/>
            </w:tcBorders>
            <w:shd w:val="clear" w:color="auto" w:fill="auto"/>
            <w:noWrap/>
            <w:hideMark/>
          </w:tcPr>
          <w:p w:rsidR="00FA00EA" w:rsidRPr="00FA00EA" w:rsidRDefault="00FA00EA" w:rsidP="00FA00EA">
            <w:pPr>
              <w:suppressAutoHyphens w:val="0"/>
              <w:jc w:val="center"/>
              <w:rPr>
                <w:sz w:val="22"/>
                <w:szCs w:val="22"/>
                <w:lang w:eastAsia="ru-RU"/>
              </w:rPr>
            </w:pPr>
            <w:r w:rsidRPr="00FA00EA">
              <w:rPr>
                <w:sz w:val="22"/>
                <w:szCs w:val="22"/>
                <w:lang w:eastAsia="ru-RU"/>
              </w:rPr>
              <w:t>уп.</w:t>
            </w:r>
          </w:p>
        </w:tc>
      </w:tr>
      <w:tr w:rsidR="00FA00EA" w:rsidRPr="00FA00EA" w:rsidTr="00FA00EA">
        <w:trPr>
          <w:trHeight w:val="4665"/>
        </w:trPr>
        <w:tc>
          <w:tcPr>
            <w:tcW w:w="460" w:type="dxa"/>
            <w:tcBorders>
              <w:top w:val="nil"/>
              <w:left w:val="single" w:sz="4" w:space="0" w:color="auto"/>
              <w:bottom w:val="single" w:sz="4" w:space="0" w:color="auto"/>
              <w:right w:val="single" w:sz="4" w:space="0" w:color="auto"/>
            </w:tcBorders>
            <w:shd w:val="clear" w:color="auto" w:fill="auto"/>
            <w:hideMark/>
          </w:tcPr>
          <w:p w:rsidR="00FA00EA" w:rsidRPr="00FA00EA" w:rsidRDefault="00FA00EA" w:rsidP="00FA00EA">
            <w:pPr>
              <w:suppressAutoHyphens w:val="0"/>
              <w:jc w:val="right"/>
              <w:rPr>
                <w:sz w:val="20"/>
                <w:szCs w:val="20"/>
                <w:lang w:eastAsia="ru-RU"/>
              </w:rPr>
            </w:pPr>
            <w:r w:rsidRPr="00FA00EA">
              <w:rPr>
                <w:sz w:val="20"/>
                <w:szCs w:val="20"/>
                <w:lang w:eastAsia="ru-RU"/>
              </w:rPr>
              <w:lastRenderedPageBreak/>
              <w:t>11</w:t>
            </w:r>
          </w:p>
        </w:tc>
        <w:tc>
          <w:tcPr>
            <w:tcW w:w="1823" w:type="dxa"/>
            <w:tcBorders>
              <w:top w:val="nil"/>
              <w:left w:val="nil"/>
              <w:bottom w:val="single" w:sz="4" w:space="0" w:color="auto"/>
              <w:right w:val="nil"/>
            </w:tcBorders>
            <w:shd w:val="clear" w:color="auto" w:fill="auto"/>
            <w:hideMark/>
          </w:tcPr>
          <w:p w:rsidR="00FA00EA" w:rsidRPr="00FA00EA" w:rsidRDefault="00FA00EA" w:rsidP="00FA00EA">
            <w:pPr>
              <w:suppressAutoHyphens w:val="0"/>
              <w:rPr>
                <w:sz w:val="20"/>
                <w:szCs w:val="20"/>
                <w:lang w:val="en-US" w:eastAsia="ru-RU"/>
              </w:rPr>
            </w:pPr>
            <w:r w:rsidRPr="00FA00EA">
              <w:rPr>
                <w:sz w:val="20"/>
                <w:szCs w:val="20"/>
                <w:lang w:eastAsia="ru-RU"/>
              </w:rPr>
              <w:t>ГЛЮКОЗА</w:t>
            </w:r>
            <w:r w:rsidRPr="00FA00EA">
              <w:rPr>
                <w:sz w:val="20"/>
                <w:szCs w:val="20"/>
                <w:lang w:val="en-US" w:eastAsia="ru-RU"/>
              </w:rPr>
              <w:t xml:space="preserve"> GOD-PAP ( 500 </w:t>
            </w:r>
            <w:r w:rsidRPr="00FA00EA">
              <w:rPr>
                <w:sz w:val="20"/>
                <w:szCs w:val="20"/>
                <w:lang w:eastAsia="ru-RU"/>
              </w:rPr>
              <w:t>мл</w:t>
            </w:r>
            <w:r w:rsidRPr="00FA00EA">
              <w:rPr>
                <w:sz w:val="20"/>
                <w:szCs w:val="20"/>
                <w:lang w:val="en-US" w:eastAsia="ru-RU"/>
              </w:rPr>
              <w:t xml:space="preserve">)  </w:t>
            </w:r>
            <w:r w:rsidRPr="00FA00EA">
              <w:rPr>
                <w:sz w:val="20"/>
                <w:szCs w:val="20"/>
                <w:lang w:eastAsia="ru-RU"/>
              </w:rPr>
              <w:t>Кат</w:t>
            </w:r>
            <w:r w:rsidRPr="00FA00EA">
              <w:rPr>
                <w:sz w:val="20"/>
                <w:szCs w:val="20"/>
                <w:lang w:val="en-US" w:eastAsia="ru-RU"/>
              </w:rPr>
              <w:t>.№ 304.3.500</w:t>
            </w:r>
          </w:p>
        </w:tc>
        <w:tc>
          <w:tcPr>
            <w:tcW w:w="5645" w:type="dxa"/>
            <w:tcBorders>
              <w:top w:val="nil"/>
              <w:left w:val="single" w:sz="4" w:space="0" w:color="auto"/>
              <w:bottom w:val="single" w:sz="4" w:space="0" w:color="auto"/>
              <w:right w:val="nil"/>
            </w:tcBorders>
            <w:shd w:val="clear" w:color="auto" w:fill="auto"/>
            <w:hideMark/>
          </w:tcPr>
          <w:p w:rsidR="00FA00EA" w:rsidRPr="00FA00EA" w:rsidRDefault="00FA00EA" w:rsidP="00FA00EA">
            <w:pPr>
              <w:suppressAutoHyphens w:val="0"/>
              <w:spacing w:after="240"/>
              <w:rPr>
                <w:sz w:val="20"/>
                <w:szCs w:val="20"/>
                <w:lang w:eastAsia="ru-RU"/>
              </w:rPr>
            </w:pPr>
            <w:r w:rsidRPr="00FA00EA">
              <w:rPr>
                <w:sz w:val="20"/>
                <w:szCs w:val="20"/>
                <w:lang w:eastAsia="ru-RU"/>
              </w:rPr>
              <w:t>Набор реагентов и других связанных с ними материалов, предназначенный для количественного определения глюкозы (glucose) в клиническом образце методом ферментного спектрофотометрического анализа.</w:t>
            </w:r>
            <w:r w:rsidRPr="00FA00EA">
              <w:rPr>
                <w:sz w:val="20"/>
                <w:szCs w:val="20"/>
                <w:lang w:eastAsia="ru-RU"/>
              </w:rPr>
              <w:br/>
              <w:t>Назначение: для анализаторов открытого типа и ручной постановки.</w:t>
            </w:r>
            <w:r w:rsidRPr="00FA00EA">
              <w:rPr>
                <w:sz w:val="20"/>
                <w:szCs w:val="20"/>
                <w:lang w:eastAsia="ru-RU"/>
              </w:rPr>
              <w:br/>
              <w:t>Дополнительные характеристики:</w:t>
            </w:r>
            <w:r w:rsidRPr="00FA00EA">
              <w:rPr>
                <w:sz w:val="20"/>
                <w:szCs w:val="20"/>
                <w:lang w:eastAsia="ru-RU"/>
              </w:rPr>
              <w:br/>
              <w:t>Набор реагентов для определения концентрации глюкозы в  сыворотке и плазме крови энзиматическим колориметрическим методом. .БИРЕАГЕНТ. Состав набора: 1. Буфер, рН 7,5: Na2HPO4-150 ммоль/л; Фенол-11 ммоль/л; 2. Раствор ферментов: Глюкозооксидаза-15000 МЕ/л; Пероксидаза-1000 МЕ/л. 3. Калибратор-5,55 ммоль/л.-2мл. 4. Кислота хлорная (концентрат). Линейность в диапазоне от 1 до 30 ммоль/л. Рабочий реагент стабилен не менее 30 суток при t 2-8° С. Фасовка 500мл.(2х250мл+2х5,1мл+7,1мл)</w:t>
            </w:r>
          </w:p>
        </w:tc>
        <w:tc>
          <w:tcPr>
            <w:tcW w:w="720" w:type="dxa"/>
            <w:tcBorders>
              <w:top w:val="nil"/>
              <w:left w:val="single" w:sz="4" w:space="0" w:color="auto"/>
              <w:bottom w:val="single" w:sz="4" w:space="0" w:color="auto"/>
              <w:right w:val="nil"/>
            </w:tcBorders>
            <w:shd w:val="clear" w:color="auto" w:fill="auto"/>
            <w:noWrap/>
            <w:hideMark/>
          </w:tcPr>
          <w:p w:rsidR="00FA00EA" w:rsidRPr="00FA00EA" w:rsidRDefault="00FA00EA" w:rsidP="00FA00EA">
            <w:pPr>
              <w:suppressAutoHyphens w:val="0"/>
              <w:jc w:val="right"/>
              <w:rPr>
                <w:sz w:val="20"/>
                <w:szCs w:val="20"/>
                <w:lang w:eastAsia="ru-RU"/>
              </w:rPr>
            </w:pPr>
            <w:r w:rsidRPr="00FA00EA">
              <w:rPr>
                <w:sz w:val="20"/>
                <w:szCs w:val="20"/>
                <w:lang w:eastAsia="ru-RU"/>
              </w:rPr>
              <w:t>6</w:t>
            </w:r>
          </w:p>
        </w:tc>
        <w:tc>
          <w:tcPr>
            <w:tcW w:w="599" w:type="dxa"/>
            <w:tcBorders>
              <w:top w:val="nil"/>
              <w:left w:val="single" w:sz="4" w:space="0" w:color="auto"/>
              <w:bottom w:val="single" w:sz="4" w:space="0" w:color="auto"/>
              <w:right w:val="single" w:sz="4" w:space="0" w:color="auto"/>
            </w:tcBorders>
            <w:shd w:val="clear" w:color="auto" w:fill="auto"/>
            <w:noWrap/>
            <w:hideMark/>
          </w:tcPr>
          <w:p w:rsidR="00FA00EA" w:rsidRPr="00FA00EA" w:rsidRDefault="00FA00EA" w:rsidP="00FA00EA">
            <w:pPr>
              <w:suppressAutoHyphens w:val="0"/>
              <w:jc w:val="center"/>
              <w:rPr>
                <w:sz w:val="22"/>
                <w:szCs w:val="22"/>
                <w:lang w:eastAsia="ru-RU"/>
              </w:rPr>
            </w:pPr>
            <w:r w:rsidRPr="00FA00EA">
              <w:rPr>
                <w:sz w:val="22"/>
                <w:szCs w:val="22"/>
                <w:lang w:eastAsia="ru-RU"/>
              </w:rPr>
              <w:t>уп.</w:t>
            </w:r>
          </w:p>
        </w:tc>
      </w:tr>
      <w:tr w:rsidR="00FA00EA" w:rsidRPr="00FA00EA" w:rsidTr="00FA00EA">
        <w:trPr>
          <w:trHeight w:val="3060"/>
        </w:trPr>
        <w:tc>
          <w:tcPr>
            <w:tcW w:w="460" w:type="dxa"/>
            <w:tcBorders>
              <w:top w:val="nil"/>
              <w:left w:val="single" w:sz="4" w:space="0" w:color="auto"/>
              <w:bottom w:val="single" w:sz="4" w:space="0" w:color="auto"/>
              <w:right w:val="single" w:sz="4" w:space="0" w:color="auto"/>
            </w:tcBorders>
            <w:shd w:val="clear" w:color="auto" w:fill="auto"/>
            <w:hideMark/>
          </w:tcPr>
          <w:p w:rsidR="00FA00EA" w:rsidRPr="00FA00EA" w:rsidRDefault="00FA00EA" w:rsidP="00FA00EA">
            <w:pPr>
              <w:suppressAutoHyphens w:val="0"/>
              <w:jc w:val="right"/>
              <w:rPr>
                <w:sz w:val="20"/>
                <w:szCs w:val="20"/>
                <w:lang w:eastAsia="ru-RU"/>
              </w:rPr>
            </w:pPr>
            <w:r w:rsidRPr="00FA00EA">
              <w:rPr>
                <w:sz w:val="20"/>
                <w:szCs w:val="20"/>
                <w:lang w:eastAsia="ru-RU"/>
              </w:rPr>
              <w:t>12</w:t>
            </w:r>
          </w:p>
        </w:tc>
        <w:tc>
          <w:tcPr>
            <w:tcW w:w="1823" w:type="dxa"/>
            <w:tcBorders>
              <w:top w:val="nil"/>
              <w:left w:val="nil"/>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ХОЛЕСТЕРИН ОБЩИЙ  (500 мл) Кат.№ 305.1.500 "Абрис+"</w:t>
            </w:r>
          </w:p>
        </w:tc>
        <w:tc>
          <w:tcPr>
            <w:tcW w:w="5645" w:type="dxa"/>
            <w:tcBorders>
              <w:top w:val="nil"/>
              <w:left w:val="single" w:sz="4" w:space="0" w:color="auto"/>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Набор реагентов и других связанных с ними материалов, предназначенный для количественного определения общего холестерина (total cholesterol) в клиническом образце методом ферментного спектрофотометрического анализа.</w:t>
            </w:r>
            <w:r w:rsidRPr="00FA00EA">
              <w:rPr>
                <w:sz w:val="20"/>
                <w:szCs w:val="20"/>
                <w:lang w:eastAsia="ru-RU"/>
              </w:rPr>
              <w:br/>
              <w:t>Назначение: для ручной постановки и анализаторов открытого типа.</w:t>
            </w:r>
            <w:r w:rsidRPr="00FA00EA">
              <w:rPr>
                <w:sz w:val="20"/>
                <w:szCs w:val="20"/>
                <w:lang w:eastAsia="ru-RU"/>
              </w:rPr>
              <w:br/>
              <w:t>Дополнительные характеристики:</w:t>
            </w:r>
            <w:r w:rsidRPr="00FA00EA">
              <w:rPr>
                <w:sz w:val="20"/>
                <w:szCs w:val="20"/>
                <w:lang w:eastAsia="ru-RU"/>
              </w:rPr>
              <w:br/>
              <w:t>Набор для определения концентрации общего холестерина в сыворотке и плазме крови энзиматическим колориметрическим методом.Фасовка 500мл.(500мл+10мл)+1мл. Состав набора: 1:PIPES - 75 ммол/л,  Фенол-5 ммоль/л; 4-ААП-0,5 ммоль/л; 2.Холестеролэстераза-350 МЕ/л; Холестеролоксидаза-350 МЕ/л; Пероксидаза-1000 МЕ/л. 3.Калибратор-5,17 ммоль/л.- 1мл.  Линейность - 0,5-25,8 ммоль/л. Реагенты готовы к использованию.</w:t>
            </w:r>
          </w:p>
        </w:tc>
        <w:tc>
          <w:tcPr>
            <w:tcW w:w="720" w:type="dxa"/>
            <w:tcBorders>
              <w:top w:val="nil"/>
              <w:left w:val="single" w:sz="4" w:space="0" w:color="auto"/>
              <w:bottom w:val="single" w:sz="4" w:space="0" w:color="auto"/>
              <w:right w:val="nil"/>
            </w:tcBorders>
            <w:shd w:val="clear" w:color="auto" w:fill="auto"/>
            <w:noWrap/>
            <w:hideMark/>
          </w:tcPr>
          <w:p w:rsidR="00FA00EA" w:rsidRPr="00FA00EA" w:rsidRDefault="00FA00EA" w:rsidP="00FA00EA">
            <w:pPr>
              <w:suppressAutoHyphens w:val="0"/>
              <w:jc w:val="right"/>
              <w:rPr>
                <w:sz w:val="20"/>
                <w:szCs w:val="20"/>
                <w:lang w:eastAsia="ru-RU"/>
              </w:rPr>
            </w:pPr>
            <w:r w:rsidRPr="00FA00EA">
              <w:rPr>
                <w:sz w:val="20"/>
                <w:szCs w:val="20"/>
                <w:lang w:eastAsia="ru-RU"/>
              </w:rPr>
              <w:t>6</w:t>
            </w:r>
          </w:p>
        </w:tc>
        <w:tc>
          <w:tcPr>
            <w:tcW w:w="599" w:type="dxa"/>
            <w:tcBorders>
              <w:top w:val="nil"/>
              <w:left w:val="single" w:sz="4" w:space="0" w:color="auto"/>
              <w:bottom w:val="single" w:sz="4" w:space="0" w:color="auto"/>
              <w:right w:val="single" w:sz="4" w:space="0" w:color="auto"/>
            </w:tcBorders>
            <w:shd w:val="clear" w:color="auto" w:fill="auto"/>
            <w:noWrap/>
            <w:hideMark/>
          </w:tcPr>
          <w:p w:rsidR="00FA00EA" w:rsidRPr="00FA00EA" w:rsidRDefault="00FA00EA" w:rsidP="00FA00EA">
            <w:pPr>
              <w:suppressAutoHyphens w:val="0"/>
              <w:jc w:val="center"/>
              <w:rPr>
                <w:sz w:val="22"/>
                <w:szCs w:val="22"/>
                <w:lang w:eastAsia="ru-RU"/>
              </w:rPr>
            </w:pPr>
            <w:r w:rsidRPr="00FA00EA">
              <w:rPr>
                <w:sz w:val="22"/>
                <w:szCs w:val="22"/>
                <w:lang w:eastAsia="ru-RU"/>
              </w:rPr>
              <w:t>уп.</w:t>
            </w:r>
          </w:p>
        </w:tc>
      </w:tr>
      <w:tr w:rsidR="00FA00EA" w:rsidRPr="00FA00EA" w:rsidTr="00FA00EA">
        <w:trPr>
          <w:trHeight w:val="4815"/>
        </w:trPr>
        <w:tc>
          <w:tcPr>
            <w:tcW w:w="460" w:type="dxa"/>
            <w:tcBorders>
              <w:top w:val="nil"/>
              <w:left w:val="single" w:sz="4" w:space="0" w:color="auto"/>
              <w:bottom w:val="single" w:sz="4" w:space="0" w:color="auto"/>
              <w:right w:val="single" w:sz="4" w:space="0" w:color="auto"/>
            </w:tcBorders>
            <w:shd w:val="clear" w:color="auto" w:fill="auto"/>
            <w:hideMark/>
          </w:tcPr>
          <w:p w:rsidR="00FA00EA" w:rsidRPr="00FA00EA" w:rsidRDefault="00FA00EA" w:rsidP="00FA00EA">
            <w:pPr>
              <w:suppressAutoHyphens w:val="0"/>
              <w:jc w:val="right"/>
              <w:rPr>
                <w:sz w:val="20"/>
                <w:szCs w:val="20"/>
                <w:lang w:eastAsia="ru-RU"/>
              </w:rPr>
            </w:pPr>
            <w:r w:rsidRPr="00FA00EA">
              <w:rPr>
                <w:sz w:val="20"/>
                <w:szCs w:val="20"/>
                <w:lang w:eastAsia="ru-RU"/>
              </w:rPr>
              <w:t>13</w:t>
            </w:r>
          </w:p>
        </w:tc>
        <w:tc>
          <w:tcPr>
            <w:tcW w:w="1823" w:type="dxa"/>
            <w:tcBorders>
              <w:top w:val="nil"/>
              <w:left w:val="nil"/>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ТРИГЛИЦЕРИДЫ  GРO-PAP (100 мл) Кат.№ 323.1.100 "Абрис+"</w:t>
            </w:r>
          </w:p>
        </w:tc>
        <w:tc>
          <w:tcPr>
            <w:tcW w:w="5645" w:type="dxa"/>
            <w:tcBorders>
              <w:top w:val="nil"/>
              <w:left w:val="single" w:sz="4" w:space="0" w:color="auto"/>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Набор реагентов и других связанных с ними материалов, предназначенный для количественного определения триглицеридов (triglyceride) в клиническом образце с использованием метода ферментного спектрофотометрического анализа.</w:t>
            </w:r>
            <w:r w:rsidRPr="00FA00EA">
              <w:rPr>
                <w:sz w:val="20"/>
                <w:szCs w:val="20"/>
                <w:lang w:eastAsia="ru-RU"/>
              </w:rPr>
              <w:br/>
              <w:t>Назначение: для ручной постановки и анализаторов открытого типа.</w:t>
            </w:r>
            <w:r w:rsidRPr="00FA00EA">
              <w:rPr>
                <w:sz w:val="20"/>
                <w:szCs w:val="20"/>
                <w:lang w:eastAsia="ru-RU"/>
              </w:rPr>
              <w:br/>
              <w:t>Дополнительные характеристики:</w:t>
            </w:r>
            <w:r w:rsidRPr="00FA00EA">
              <w:rPr>
                <w:sz w:val="20"/>
                <w:szCs w:val="20"/>
                <w:lang w:eastAsia="ru-RU"/>
              </w:rPr>
              <w:br/>
              <w:t>Набор для определения концентрации триглицеридов в сыворотке и плазме крови энзиматическим колориметрическим методом. Фасовка 100мл.(90мл+10мл) Состав набора:1Буфер,рН 7,0: PIPES - 50 ммол/л,  4-хлорфенол-5 ммоль/л; MgSO4 -1 ммоль/л; 4-ААП-0,5 ммоль/л. 2Раствор ферментов: Липаза-1500 МЕ/л; Глицерокиназа-200 МЕ/л; Глицерофосфатоксидаза-1000 МЕ/л;  Пероксидаза-250 МЕ/л. 3Калибратор-2,29 ммоль/л.- 1мл. Линейность - от 0,1 до 11,4 ммоль/л. Рабочий реагент стабилен не менее 14 суток при t 2-8° С.</w:t>
            </w:r>
          </w:p>
        </w:tc>
        <w:tc>
          <w:tcPr>
            <w:tcW w:w="720" w:type="dxa"/>
            <w:tcBorders>
              <w:top w:val="nil"/>
              <w:left w:val="single" w:sz="4" w:space="0" w:color="auto"/>
              <w:bottom w:val="single" w:sz="4" w:space="0" w:color="auto"/>
              <w:right w:val="nil"/>
            </w:tcBorders>
            <w:shd w:val="clear" w:color="auto" w:fill="auto"/>
            <w:noWrap/>
            <w:hideMark/>
          </w:tcPr>
          <w:p w:rsidR="00FA00EA" w:rsidRPr="00FA00EA" w:rsidRDefault="00FA00EA" w:rsidP="00FA00EA">
            <w:pPr>
              <w:suppressAutoHyphens w:val="0"/>
              <w:jc w:val="right"/>
              <w:rPr>
                <w:sz w:val="20"/>
                <w:szCs w:val="20"/>
                <w:lang w:eastAsia="ru-RU"/>
              </w:rPr>
            </w:pPr>
            <w:r w:rsidRPr="00FA00EA">
              <w:rPr>
                <w:sz w:val="20"/>
                <w:szCs w:val="20"/>
                <w:lang w:eastAsia="ru-RU"/>
              </w:rPr>
              <w:t>4</w:t>
            </w:r>
          </w:p>
        </w:tc>
        <w:tc>
          <w:tcPr>
            <w:tcW w:w="599" w:type="dxa"/>
            <w:tcBorders>
              <w:top w:val="nil"/>
              <w:left w:val="single" w:sz="4" w:space="0" w:color="auto"/>
              <w:bottom w:val="single" w:sz="4" w:space="0" w:color="auto"/>
              <w:right w:val="single" w:sz="4" w:space="0" w:color="auto"/>
            </w:tcBorders>
            <w:shd w:val="clear" w:color="auto" w:fill="auto"/>
            <w:noWrap/>
            <w:hideMark/>
          </w:tcPr>
          <w:p w:rsidR="00FA00EA" w:rsidRPr="00FA00EA" w:rsidRDefault="00FA00EA" w:rsidP="00FA00EA">
            <w:pPr>
              <w:suppressAutoHyphens w:val="0"/>
              <w:jc w:val="center"/>
              <w:rPr>
                <w:sz w:val="22"/>
                <w:szCs w:val="22"/>
                <w:lang w:eastAsia="ru-RU"/>
              </w:rPr>
            </w:pPr>
            <w:r w:rsidRPr="00FA00EA">
              <w:rPr>
                <w:sz w:val="22"/>
                <w:szCs w:val="22"/>
                <w:lang w:eastAsia="ru-RU"/>
              </w:rPr>
              <w:t>уп.</w:t>
            </w:r>
          </w:p>
        </w:tc>
      </w:tr>
      <w:tr w:rsidR="00FA00EA" w:rsidRPr="00FA00EA" w:rsidTr="00FA00EA">
        <w:trPr>
          <w:trHeight w:val="4770"/>
        </w:trPr>
        <w:tc>
          <w:tcPr>
            <w:tcW w:w="460" w:type="dxa"/>
            <w:tcBorders>
              <w:top w:val="nil"/>
              <w:left w:val="single" w:sz="4" w:space="0" w:color="auto"/>
              <w:bottom w:val="single" w:sz="4" w:space="0" w:color="auto"/>
              <w:right w:val="single" w:sz="4" w:space="0" w:color="auto"/>
            </w:tcBorders>
            <w:shd w:val="clear" w:color="auto" w:fill="auto"/>
            <w:hideMark/>
          </w:tcPr>
          <w:p w:rsidR="00FA00EA" w:rsidRPr="00FA00EA" w:rsidRDefault="00FA00EA" w:rsidP="00FA00EA">
            <w:pPr>
              <w:suppressAutoHyphens w:val="0"/>
              <w:jc w:val="right"/>
              <w:rPr>
                <w:sz w:val="20"/>
                <w:szCs w:val="20"/>
                <w:lang w:eastAsia="ru-RU"/>
              </w:rPr>
            </w:pPr>
            <w:r w:rsidRPr="00FA00EA">
              <w:rPr>
                <w:sz w:val="20"/>
                <w:szCs w:val="20"/>
                <w:lang w:eastAsia="ru-RU"/>
              </w:rPr>
              <w:lastRenderedPageBreak/>
              <w:t>14</w:t>
            </w:r>
          </w:p>
        </w:tc>
        <w:tc>
          <w:tcPr>
            <w:tcW w:w="1823" w:type="dxa"/>
            <w:tcBorders>
              <w:top w:val="nil"/>
              <w:left w:val="nil"/>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Изотонический разбавитель Абакус (10л/уп) к.№ ГР36009</w:t>
            </w:r>
          </w:p>
        </w:tc>
        <w:tc>
          <w:tcPr>
            <w:tcW w:w="5645" w:type="dxa"/>
            <w:tcBorders>
              <w:top w:val="nil"/>
              <w:left w:val="single" w:sz="4" w:space="0" w:color="auto"/>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 xml:space="preserve">Назначение: Для гематологических анализаторов открытого типа ; ; Тип реагента: Изотонический разбавитель крови </w:t>
            </w:r>
            <w:r w:rsidRPr="00FA00EA">
              <w:rPr>
                <w:sz w:val="20"/>
                <w:szCs w:val="20"/>
                <w:lang w:eastAsia="ru-RU"/>
              </w:rPr>
              <w:br/>
              <w:t>аналог Abaton Diluent</w:t>
            </w:r>
            <w:r w:rsidRPr="00FA00EA">
              <w:rPr>
                <w:sz w:val="20"/>
                <w:szCs w:val="20"/>
                <w:lang w:eastAsia="ru-RU"/>
              </w:rPr>
              <w:br/>
              <w:t>1. Объём флакона 10 литров (Из прозрачного материала для возможности визуального контроля уровня реагентов)</w:t>
            </w:r>
            <w:r w:rsidRPr="00FA00EA">
              <w:rPr>
                <w:sz w:val="20"/>
                <w:szCs w:val="20"/>
                <w:lang w:eastAsia="ru-RU"/>
              </w:rPr>
              <w:br/>
              <w:t>2. Концентрация активных компонентов:</w:t>
            </w:r>
            <w:r w:rsidRPr="00FA00EA">
              <w:rPr>
                <w:sz w:val="20"/>
                <w:szCs w:val="20"/>
                <w:lang w:eastAsia="ru-RU"/>
              </w:rPr>
              <w:br/>
              <w:t>Натрий хлорид &lt; 1,0% Буфер &lt; 0,6% Консервант &lt; 0,4%</w:t>
            </w:r>
            <w:r w:rsidRPr="00FA00EA">
              <w:rPr>
                <w:sz w:val="20"/>
                <w:szCs w:val="20"/>
                <w:lang w:eastAsia="ru-RU"/>
              </w:rPr>
              <w:br/>
              <w:t>Не содержит азида натрия</w:t>
            </w:r>
            <w:r w:rsidRPr="00FA00EA">
              <w:rPr>
                <w:sz w:val="20"/>
                <w:szCs w:val="20"/>
                <w:lang w:eastAsia="ru-RU"/>
              </w:rPr>
              <w:br/>
              <w:t>3. Физико-химические свойства:</w:t>
            </w:r>
            <w:r w:rsidRPr="00FA00EA">
              <w:rPr>
                <w:sz w:val="20"/>
                <w:szCs w:val="20"/>
                <w:lang w:eastAsia="ru-RU"/>
              </w:rPr>
              <w:br/>
              <w:t>рН реагента, в пределах 7±0,3.</w:t>
            </w:r>
            <w:r w:rsidRPr="00FA00EA">
              <w:rPr>
                <w:sz w:val="20"/>
                <w:szCs w:val="20"/>
                <w:lang w:eastAsia="ru-RU"/>
              </w:rPr>
              <w:br/>
              <w:t>Электропроводность, в пределах 18,3±0,3 мСим/см</w:t>
            </w:r>
            <w:r w:rsidRPr="00FA00EA">
              <w:rPr>
                <w:sz w:val="20"/>
                <w:szCs w:val="20"/>
                <w:lang w:eastAsia="ru-RU"/>
              </w:rPr>
              <w:br/>
              <w:t>Фон по PLT, не более 10*109 л-1</w:t>
            </w:r>
            <w:r w:rsidRPr="00FA00EA">
              <w:rPr>
                <w:sz w:val="20"/>
                <w:szCs w:val="20"/>
                <w:lang w:eastAsia="ru-RU"/>
              </w:rPr>
              <w:br/>
              <w:t>4. Внешний вид - бесцветная прозрачная жидкость</w:t>
            </w:r>
            <w:r w:rsidRPr="00FA00EA">
              <w:rPr>
                <w:sz w:val="20"/>
                <w:szCs w:val="20"/>
                <w:lang w:eastAsia="ru-RU"/>
              </w:rPr>
              <w:br/>
              <w:t>5. Срок годности, не менее 18 месяцев</w:t>
            </w:r>
            <w:r w:rsidRPr="00FA00EA">
              <w:rPr>
                <w:sz w:val="20"/>
                <w:szCs w:val="20"/>
                <w:lang w:eastAsia="ru-RU"/>
              </w:rPr>
              <w:br/>
              <w:t>6. Отметка на упаковке о дате изготовления</w:t>
            </w:r>
            <w:r w:rsidRPr="00FA00EA">
              <w:rPr>
                <w:sz w:val="20"/>
                <w:szCs w:val="20"/>
                <w:lang w:eastAsia="ru-RU"/>
              </w:rPr>
              <w:br/>
              <w:t>7. Наличие регистрационного удостоверение</w:t>
            </w:r>
          </w:p>
        </w:tc>
        <w:tc>
          <w:tcPr>
            <w:tcW w:w="720" w:type="dxa"/>
            <w:tcBorders>
              <w:top w:val="nil"/>
              <w:left w:val="single" w:sz="4" w:space="0" w:color="auto"/>
              <w:bottom w:val="single" w:sz="4" w:space="0" w:color="auto"/>
              <w:right w:val="nil"/>
            </w:tcBorders>
            <w:shd w:val="clear" w:color="auto" w:fill="auto"/>
            <w:noWrap/>
            <w:hideMark/>
          </w:tcPr>
          <w:p w:rsidR="00FA00EA" w:rsidRPr="00FA00EA" w:rsidRDefault="00FA00EA" w:rsidP="00FA00EA">
            <w:pPr>
              <w:suppressAutoHyphens w:val="0"/>
              <w:jc w:val="right"/>
              <w:rPr>
                <w:sz w:val="20"/>
                <w:szCs w:val="20"/>
                <w:lang w:eastAsia="ru-RU"/>
              </w:rPr>
            </w:pPr>
            <w:r w:rsidRPr="00FA00EA">
              <w:rPr>
                <w:sz w:val="20"/>
                <w:szCs w:val="20"/>
                <w:lang w:eastAsia="ru-RU"/>
              </w:rPr>
              <w:t>24</w:t>
            </w:r>
          </w:p>
        </w:tc>
        <w:tc>
          <w:tcPr>
            <w:tcW w:w="599" w:type="dxa"/>
            <w:tcBorders>
              <w:top w:val="nil"/>
              <w:left w:val="single" w:sz="4" w:space="0" w:color="auto"/>
              <w:bottom w:val="single" w:sz="4" w:space="0" w:color="auto"/>
              <w:right w:val="single" w:sz="4" w:space="0" w:color="auto"/>
            </w:tcBorders>
            <w:shd w:val="clear" w:color="auto" w:fill="auto"/>
            <w:noWrap/>
            <w:hideMark/>
          </w:tcPr>
          <w:p w:rsidR="00FA00EA" w:rsidRPr="00FA00EA" w:rsidRDefault="00FA00EA" w:rsidP="00FA00EA">
            <w:pPr>
              <w:suppressAutoHyphens w:val="0"/>
              <w:jc w:val="center"/>
              <w:rPr>
                <w:sz w:val="22"/>
                <w:szCs w:val="22"/>
                <w:lang w:eastAsia="ru-RU"/>
              </w:rPr>
            </w:pPr>
            <w:r w:rsidRPr="00FA00EA">
              <w:rPr>
                <w:sz w:val="22"/>
                <w:szCs w:val="22"/>
                <w:lang w:eastAsia="ru-RU"/>
              </w:rPr>
              <w:t>уп.</w:t>
            </w:r>
          </w:p>
        </w:tc>
      </w:tr>
      <w:tr w:rsidR="00FA00EA" w:rsidRPr="00FA00EA" w:rsidTr="00FA00EA">
        <w:trPr>
          <w:trHeight w:val="2940"/>
        </w:trPr>
        <w:tc>
          <w:tcPr>
            <w:tcW w:w="460" w:type="dxa"/>
            <w:tcBorders>
              <w:top w:val="nil"/>
              <w:left w:val="single" w:sz="4" w:space="0" w:color="auto"/>
              <w:bottom w:val="single" w:sz="4" w:space="0" w:color="auto"/>
              <w:right w:val="single" w:sz="4" w:space="0" w:color="auto"/>
            </w:tcBorders>
            <w:shd w:val="clear" w:color="auto" w:fill="auto"/>
            <w:hideMark/>
          </w:tcPr>
          <w:p w:rsidR="00FA00EA" w:rsidRPr="00FA00EA" w:rsidRDefault="00FA00EA" w:rsidP="00FA00EA">
            <w:pPr>
              <w:suppressAutoHyphens w:val="0"/>
              <w:jc w:val="right"/>
              <w:rPr>
                <w:sz w:val="20"/>
                <w:szCs w:val="20"/>
                <w:lang w:eastAsia="ru-RU"/>
              </w:rPr>
            </w:pPr>
            <w:r w:rsidRPr="00FA00EA">
              <w:rPr>
                <w:sz w:val="20"/>
                <w:szCs w:val="20"/>
                <w:lang w:eastAsia="ru-RU"/>
              </w:rPr>
              <w:t>15</w:t>
            </w:r>
          </w:p>
        </w:tc>
        <w:tc>
          <w:tcPr>
            <w:tcW w:w="1823" w:type="dxa"/>
            <w:tcBorders>
              <w:top w:val="nil"/>
              <w:left w:val="nil"/>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Лизирующий р-р Абакус (1л/уп) к.№ГР36006</w:t>
            </w:r>
          </w:p>
        </w:tc>
        <w:tc>
          <w:tcPr>
            <w:tcW w:w="5645" w:type="dxa"/>
            <w:tcBorders>
              <w:top w:val="nil"/>
              <w:left w:val="single" w:sz="4" w:space="0" w:color="auto"/>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Годится к Абакусам, Абакусам Юниорам, Аркусам.</w:t>
            </w:r>
            <w:r w:rsidRPr="00FA00EA">
              <w:rPr>
                <w:sz w:val="20"/>
                <w:szCs w:val="20"/>
                <w:lang w:eastAsia="ru-RU"/>
              </w:rPr>
              <w:br/>
              <w:t>Аналог- Abalyse</w:t>
            </w:r>
            <w:r w:rsidRPr="00FA00EA">
              <w:rPr>
                <w:sz w:val="20"/>
                <w:szCs w:val="20"/>
                <w:lang w:eastAsia="ru-RU"/>
              </w:rPr>
              <w:br/>
              <w:t>1. Объём флакона 1 л (Из прозрачного материала с градуировкой для возможности визуального контроля уровня реагентов)</w:t>
            </w:r>
            <w:r w:rsidRPr="00FA00EA">
              <w:rPr>
                <w:sz w:val="20"/>
                <w:szCs w:val="20"/>
                <w:lang w:eastAsia="ru-RU"/>
              </w:rPr>
              <w:br/>
              <w:t>2. Концентрация активных компонентов:</w:t>
            </w:r>
            <w:r w:rsidRPr="00FA00EA">
              <w:rPr>
                <w:sz w:val="20"/>
                <w:szCs w:val="20"/>
                <w:lang w:eastAsia="ru-RU"/>
              </w:rPr>
              <w:br/>
              <w:t xml:space="preserve">   Четвертичная аммониевая соль &lt; 5,0%</w:t>
            </w:r>
            <w:r w:rsidRPr="00FA00EA">
              <w:rPr>
                <w:sz w:val="20"/>
                <w:szCs w:val="20"/>
                <w:lang w:eastAsia="ru-RU"/>
              </w:rPr>
              <w:br/>
              <w:t>Не содержит цианид</w:t>
            </w:r>
            <w:r w:rsidRPr="00FA00EA">
              <w:rPr>
                <w:sz w:val="20"/>
                <w:szCs w:val="20"/>
                <w:lang w:eastAsia="ru-RU"/>
              </w:rPr>
              <w:br/>
              <w:t>3. Внешний вид - бесцветная прозрачная жидкость</w:t>
            </w:r>
            <w:r w:rsidRPr="00FA00EA">
              <w:rPr>
                <w:sz w:val="20"/>
                <w:szCs w:val="20"/>
                <w:lang w:eastAsia="ru-RU"/>
              </w:rPr>
              <w:br/>
              <w:t>4. Срок годности, не менее 24 месяцев</w:t>
            </w:r>
            <w:r w:rsidRPr="00FA00EA">
              <w:rPr>
                <w:sz w:val="20"/>
                <w:szCs w:val="20"/>
                <w:lang w:eastAsia="ru-RU"/>
              </w:rPr>
              <w:br/>
              <w:t>5. Отметка на упаковке о дате изготовления</w:t>
            </w:r>
            <w:r w:rsidRPr="00FA00EA">
              <w:rPr>
                <w:sz w:val="20"/>
                <w:szCs w:val="20"/>
                <w:lang w:eastAsia="ru-RU"/>
              </w:rPr>
              <w:br/>
              <w:t>6. Наличие регистрационного удостоверение</w:t>
            </w:r>
          </w:p>
        </w:tc>
        <w:tc>
          <w:tcPr>
            <w:tcW w:w="720" w:type="dxa"/>
            <w:tcBorders>
              <w:top w:val="nil"/>
              <w:left w:val="single" w:sz="4" w:space="0" w:color="auto"/>
              <w:bottom w:val="single" w:sz="4" w:space="0" w:color="auto"/>
              <w:right w:val="nil"/>
            </w:tcBorders>
            <w:shd w:val="clear" w:color="auto" w:fill="auto"/>
            <w:noWrap/>
            <w:hideMark/>
          </w:tcPr>
          <w:p w:rsidR="00FA00EA" w:rsidRPr="00FA00EA" w:rsidRDefault="00FA00EA" w:rsidP="00FA00EA">
            <w:pPr>
              <w:suppressAutoHyphens w:val="0"/>
              <w:jc w:val="right"/>
              <w:rPr>
                <w:sz w:val="20"/>
                <w:szCs w:val="20"/>
                <w:lang w:eastAsia="ru-RU"/>
              </w:rPr>
            </w:pPr>
            <w:r w:rsidRPr="00FA00EA">
              <w:rPr>
                <w:sz w:val="20"/>
                <w:szCs w:val="20"/>
                <w:lang w:eastAsia="ru-RU"/>
              </w:rPr>
              <w:t>12</w:t>
            </w:r>
          </w:p>
        </w:tc>
        <w:tc>
          <w:tcPr>
            <w:tcW w:w="599" w:type="dxa"/>
            <w:tcBorders>
              <w:top w:val="nil"/>
              <w:left w:val="single" w:sz="4" w:space="0" w:color="auto"/>
              <w:bottom w:val="single" w:sz="4" w:space="0" w:color="auto"/>
              <w:right w:val="single" w:sz="4" w:space="0" w:color="auto"/>
            </w:tcBorders>
            <w:shd w:val="clear" w:color="auto" w:fill="auto"/>
            <w:noWrap/>
            <w:hideMark/>
          </w:tcPr>
          <w:p w:rsidR="00FA00EA" w:rsidRPr="00FA00EA" w:rsidRDefault="00FA00EA" w:rsidP="00FA00EA">
            <w:pPr>
              <w:suppressAutoHyphens w:val="0"/>
              <w:jc w:val="center"/>
              <w:rPr>
                <w:sz w:val="22"/>
                <w:szCs w:val="22"/>
                <w:lang w:eastAsia="ru-RU"/>
              </w:rPr>
            </w:pPr>
            <w:r w:rsidRPr="00FA00EA">
              <w:rPr>
                <w:sz w:val="22"/>
                <w:szCs w:val="22"/>
                <w:lang w:eastAsia="ru-RU"/>
              </w:rPr>
              <w:t>уп.</w:t>
            </w:r>
          </w:p>
        </w:tc>
      </w:tr>
      <w:tr w:rsidR="00FA00EA" w:rsidRPr="00FA00EA" w:rsidTr="00FA00EA">
        <w:trPr>
          <w:trHeight w:val="3690"/>
        </w:trPr>
        <w:tc>
          <w:tcPr>
            <w:tcW w:w="460" w:type="dxa"/>
            <w:tcBorders>
              <w:top w:val="nil"/>
              <w:left w:val="single" w:sz="4" w:space="0" w:color="auto"/>
              <w:bottom w:val="single" w:sz="4" w:space="0" w:color="auto"/>
              <w:right w:val="single" w:sz="4" w:space="0" w:color="auto"/>
            </w:tcBorders>
            <w:shd w:val="clear" w:color="auto" w:fill="auto"/>
            <w:hideMark/>
          </w:tcPr>
          <w:p w:rsidR="00FA00EA" w:rsidRPr="00FA00EA" w:rsidRDefault="00FA00EA" w:rsidP="00FA00EA">
            <w:pPr>
              <w:suppressAutoHyphens w:val="0"/>
              <w:jc w:val="right"/>
              <w:rPr>
                <w:sz w:val="20"/>
                <w:szCs w:val="20"/>
                <w:lang w:eastAsia="ru-RU"/>
              </w:rPr>
            </w:pPr>
            <w:r w:rsidRPr="00FA00EA">
              <w:rPr>
                <w:sz w:val="20"/>
                <w:szCs w:val="20"/>
                <w:lang w:eastAsia="ru-RU"/>
              </w:rPr>
              <w:t>16</w:t>
            </w:r>
          </w:p>
        </w:tc>
        <w:tc>
          <w:tcPr>
            <w:tcW w:w="1823" w:type="dxa"/>
            <w:tcBorders>
              <w:top w:val="nil"/>
              <w:left w:val="nil"/>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Промывающий р-р Абакус (1л/уп) к.№ГР36002</w:t>
            </w:r>
          </w:p>
        </w:tc>
        <w:tc>
          <w:tcPr>
            <w:tcW w:w="5645" w:type="dxa"/>
            <w:tcBorders>
              <w:top w:val="nil"/>
              <w:left w:val="single" w:sz="4" w:space="0" w:color="auto"/>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 xml:space="preserve"> Моющий/чистящий раствор ИВД, для автоматизированных / полуавтоматизированных систем</w:t>
            </w:r>
            <w:r w:rsidRPr="00FA00EA">
              <w:rPr>
                <w:sz w:val="20"/>
                <w:szCs w:val="20"/>
                <w:lang w:eastAsia="ru-RU"/>
              </w:rPr>
              <w:br/>
              <w:t xml:space="preserve">Назначение: Для гематологических анализаторов открытого типа ; </w:t>
            </w:r>
            <w:r w:rsidRPr="00FA00EA">
              <w:rPr>
                <w:sz w:val="20"/>
                <w:szCs w:val="20"/>
                <w:lang w:eastAsia="ru-RU"/>
              </w:rPr>
              <w:br/>
              <w:t>1. Объём флакона 1л (Из прозрачного материала с градуировкой для возможности визуального контроля уровня реагентов)</w:t>
            </w:r>
            <w:r w:rsidRPr="00FA00EA">
              <w:rPr>
                <w:sz w:val="20"/>
                <w:szCs w:val="20"/>
                <w:lang w:eastAsia="ru-RU"/>
              </w:rPr>
              <w:br/>
              <w:t>2. Концентрация активных компонентов:</w:t>
            </w:r>
            <w:r w:rsidRPr="00FA00EA">
              <w:rPr>
                <w:sz w:val="20"/>
                <w:szCs w:val="20"/>
                <w:lang w:eastAsia="ru-RU"/>
              </w:rPr>
              <w:br/>
              <w:t>Натрий хлорид &lt; 1,0% Буфер &lt; 5% Детергент &lt; 0,5%</w:t>
            </w:r>
            <w:r w:rsidRPr="00FA00EA">
              <w:rPr>
                <w:sz w:val="20"/>
                <w:szCs w:val="20"/>
                <w:lang w:eastAsia="ru-RU"/>
              </w:rPr>
              <w:br/>
              <w:t>Протеолитический фермент &lt; 1,0% Консервант &lt; 0,4%</w:t>
            </w:r>
            <w:r w:rsidRPr="00FA00EA">
              <w:rPr>
                <w:sz w:val="20"/>
                <w:szCs w:val="20"/>
                <w:lang w:eastAsia="ru-RU"/>
              </w:rPr>
              <w:br/>
              <w:t>Краситель &lt; 0,001%</w:t>
            </w:r>
            <w:r w:rsidRPr="00FA00EA">
              <w:rPr>
                <w:sz w:val="20"/>
                <w:szCs w:val="20"/>
                <w:lang w:eastAsia="ru-RU"/>
              </w:rPr>
              <w:br/>
              <w:t>3. Внешний вид - прозрачная пенящаяся жидкость голубого цвета</w:t>
            </w:r>
            <w:r w:rsidRPr="00FA00EA">
              <w:rPr>
                <w:sz w:val="20"/>
                <w:szCs w:val="20"/>
                <w:lang w:eastAsia="ru-RU"/>
              </w:rPr>
              <w:br/>
              <w:t>4. Характеристика раствора - Ферментативный</w:t>
            </w:r>
            <w:r w:rsidRPr="00FA00EA">
              <w:rPr>
                <w:sz w:val="20"/>
                <w:szCs w:val="20"/>
                <w:lang w:eastAsia="ru-RU"/>
              </w:rPr>
              <w:br/>
              <w:t>5. Отметка на упаковке о дате изготовления</w:t>
            </w:r>
            <w:r w:rsidRPr="00FA00EA">
              <w:rPr>
                <w:sz w:val="20"/>
                <w:szCs w:val="20"/>
                <w:lang w:eastAsia="ru-RU"/>
              </w:rPr>
              <w:br/>
              <w:t>6. Наличие регистрационного удостоверение</w:t>
            </w:r>
            <w:r w:rsidRPr="00FA00EA">
              <w:rPr>
                <w:sz w:val="20"/>
                <w:szCs w:val="20"/>
                <w:lang w:eastAsia="ru-RU"/>
              </w:rPr>
              <w:br/>
              <w:t>7. Срок годности, не менее 18 месяцев</w:t>
            </w:r>
          </w:p>
        </w:tc>
        <w:tc>
          <w:tcPr>
            <w:tcW w:w="720" w:type="dxa"/>
            <w:tcBorders>
              <w:top w:val="nil"/>
              <w:left w:val="single" w:sz="4" w:space="0" w:color="auto"/>
              <w:bottom w:val="single" w:sz="4" w:space="0" w:color="auto"/>
              <w:right w:val="nil"/>
            </w:tcBorders>
            <w:shd w:val="clear" w:color="auto" w:fill="auto"/>
            <w:noWrap/>
            <w:hideMark/>
          </w:tcPr>
          <w:p w:rsidR="00FA00EA" w:rsidRPr="00FA00EA" w:rsidRDefault="00FA00EA" w:rsidP="00FA00EA">
            <w:pPr>
              <w:suppressAutoHyphens w:val="0"/>
              <w:jc w:val="right"/>
              <w:rPr>
                <w:sz w:val="20"/>
                <w:szCs w:val="20"/>
                <w:lang w:eastAsia="ru-RU"/>
              </w:rPr>
            </w:pPr>
            <w:r w:rsidRPr="00FA00EA">
              <w:rPr>
                <w:sz w:val="20"/>
                <w:szCs w:val="20"/>
                <w:lang w:eastAsia="ru-RU"/>
              </w:rPr>
              <w:t>30</w:t>
            </w:r>
          </w:p>
        </w:tc>
        <w:tc>
          <w:tcPr>
            <w:tcW w:w="599" w:type="dxa"/>
            <w:tcBorders>
              <w:top w:val="nil"/>
              <w:left w:val="single" w:sz="4" w:space="0" w:color="auto"/>
              <w:bottom w:val="single" w:sz="4" w:space="0" w:color="auto"/>
              <w:right w:val="single" w:sz="4" w:space="0" w:color="auto"/>
            </w:tcBorders>
            <w:shd w:val="clear" w:color="auto" w:fill="auto"/>
            <w:noWrap/>
            <w:hideMark/>
          </w:tcPr>
          <w:p w:rsidR="00FA00EA" w:rsidRPr="00FA00EA" w:rsidRDefault="00FA00EA" w:rsidP="00FA00EA">
            <w:pPr>
              <w:suppressAutoHyphens w:val="0"/>
              <w:jc w:val="center"/>
              <w:rPr>
                <w:sz w:val="22"/>
                <w:szCs w:val="22"/>
                <w:lang w:eastAsia="ru-RU"/>
              </w:rPr>
            </w:pPr>
            <w:r w:rsidRPr="00FA00EA">
              <w:rPr>
                <w:sz w:val="22"/>
                <w:szCs w:val="22"/>
                <w:lang w:eastAsia="ru-RU"/>
              </w:rPr>
              <w:t>уп.</w:t>
            </w:r>
          </w:p>
        </w:tc>
      </w:tr>
      <w:tr w:rsidR="00FA00EA" w:rsidRPr="00FA00EA" w:rsidTr="00FA00EA">
        <w:trPr>
          <w:trHeight w:val="4110"/>
        </w:trPr>
        <w:tc>
          <w:tcPr>
            <w:tcW w:w="460" w:type="dxa"/>
            <w:tcBorders>
              <w:top w:val="nil"/>
              <w:left w:val="single" w:sz="4" w:space="0" w:color="auto"/>
              <w:bottom w:val="single" w:sz="4" w:space="0" w:color="auto"/>
              <w:right w:val="single" w:sz="4" w:space="0" w:color="auto"/>
            </w:tcBorders>
            <w:shd w:val="clear" w:color="auto" w:fill="auto"/>
            <w:hideMark/>
          </w:tcPr>
          <w:p w:rsidR="00FA00EA" w:rsidRPr="00FA00EA" w:rsidRDefault="00FA00EA" w:rsidP="00FA00EA">
            <w:pPr>
              <w:suppressAutoHyphens w:val="0"/>
              <w:jc w:val="right"/>
              <w:rPr>
                <w:sz w:val="20"/>
                <w:szCs w:val="20"/>
                <w:lang w:eastAsia="ru-RU"/>
              </w:rPr>
            </w:pPr>
            <w:r w:rsidRPr="00FA00EA">
              <w:rPr>
                <w:sz w:val="20"/>
                <w:szCs w:val="20"/>
                <w:lang w:eastAsia="ru-RU"/>
              </w:rPr>
              <w:lastRenderedPageBreak/>
              <w:t>17</w:t>
            </w:r>
          </w:p>
        </w:tc>
        <w:tc>
          <w:tcPr>
            <w:tcW w:w="1823" w:type="dxa"/>
            <w:tcBorders>
              <w:top w:val="nil"/>
              <w:left w:val="nil"/>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Диахим-Набор для клинического анализа кала Кат.№ 443</w:t>
            </w:r>
          </w:p>
        </w:tc>
        <w:tc>
          <w:tcPr>
            <w:tcW w:w="5645" w:type="dxa"/>
            <w:tcBorders>
              <w:top w:val="nil"/>
              <w:left w:val="single" w:sz="4" w:space="0" w:color="auto"/>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 xml:space="preserve">Набор реагентов и других связанных с ними материалов, предназначенный для качественного и/или полуколичественного определения множества аналитов при клиническом анализе кала методом окрашивания. Определяемые аналиты могут включать скрытую кровь (occult blood), билирубин (bilirubin), стеркобилин (stercobilin), фекальные жиры (faecal fat), яйца гельминтов (helminth). Набор может содержать консервант для хранения и транспортировки образцов. Количество выполняемых тестов: &gt;=  2000. Состав: бензидин - 1 флакон сухого вещества (1 г), уксусная кислота 50%  - 1 флакон  жидкости (100 мл), реактив Фуше - 1 флакон жидкости (100 мл), реактив Судан 3 - 1 флакон жидкости (100 мл), реактив Люголя - 1 флакон жидкости (50 мл), глицерин - 1 флакон   (130г), метиленовый синий - 1 флакон  жидкости (20 мл), гидроперит в таблетках  - 1 уп. 6шт., цинк уксуснокислый - 1 флакон (100мл), уксусная кислота, 30% - 1 флакон (100 мл).Набор расчитан на анализ 1000 проб для обнаружения скрытой крови, 50 проб для качественного определения стеркобилина, 200 проб для качественного определения билирубина и 2000 проб для проведения микроскопического анализа кала. </w:t>
            </w:r>
          </w:p>
        </w:tc>
        <w:tc>
          <w:tcPr>
            <w:tcW w:w="720" w:type="dxa"/>
            <w:tcBorders>
              <w:top w:val="nil"/>
              <w:left w:val="single" w:sz="4" w:space="0" w:color="auto"/>
              <w:bottom w:val="single" w:sz="4" w:space="0" w:color="auto"/>
              <w:right w:val="nil"/>
            </w:tcBorders>
            <w:shd w:val="clear" w:color="auto" w:fill="auto"/>
            <w:noWrap/>
            <w:hideMark/>
          </w:tcPr>
          <w:p w:rsidR="00FA00EA" w:rsidRPr="00FA00EA" w:rsidRDefault="00FA00EA" w:rsidP="00FA00EA">
            <w:pPr>
              <w:suppressAutoHyphens w:val="0"/>
              <w:jc w:val="right"/>
              <w:rPr>
                <w:sz w:val="20"/>
                <w:szCs w:val="20"/>
                <w:lang w:eastAsia="ru-RU"/>
              </w:rPr>
            </w:pPr>
            <w:r w:rsidRPr="00FA00EA">
              <w:rPr>
                <w:sz w:val="20"/>
                <w:szCs w:val="20"/>
                <w:lang w:eastAsia="ru-RU"/>
              </w:rPr>
              <w:t>1</w:t>
            </w:r>
          </w:p>
        </w:tc>
        <w:tc>
          <w:tcPr>
            <w:tcW w:w="599" w:type="dxa"/>
            <w:tcBorders>
              <w:top w:val="nil"/>
              <w:left w:val="single" w:sz="4" w:space="0" w:color="auto"/>
              <w:bottom w:val="single" w:sz="4" w:space="0" w:color="auto"/>
              <w:right w:val="single" w:sz="4" w:space="0" w:color="auto"/>
            </w:tcBorders>
            <w:shd w:val="clear" w:color="auto" w:fill="auto"/>
            <w:noWrap/>
            <w:hideMark/>
          </w:tcPr>
          <w:p w:rsidR="00FA00EA" w:rsidRPr="00FA00EA" w:rsidRDefault="00FA00EA" w:rsidP="00FA00EA">
            <w:pPr>
              <w:suppressAutoHyphens w:val="0"/>
              <w:jc w:val="center"/>
              <w:rPr>
                <w:sz w:val="22"/>
                <w:szCs w:val="22"/>
                <w:lang w:eastAsia="ru-RU"/>
              </w:rPr>
            </w:pPr>
            <w:r w:rsidRPr="00FA00EA">
              <w:rPr>
                <w:sz w:val="22"/>
                <w:szCs w:val="22"/>
                <w:lang w:eastAsia="ru-RU"/>
              </w:rPr>
              <w:t>уп.</w:t>
            </w:r>
          </w:p>
        </w:tc>
      </w:tr>
      <w:tr w:rsidR="00FA00EA" w:rsidRPr="00FA00EA" w:rsidTr="00FA00EA">
        <w:trPr>
          <w:trHeight w:val="1290"/>
        </w:trPr>
        <w:tc>
          <w:tcPr>
            <w:tcW w:w="460" w:type="dxa"/>
            <w:tcBorders>
              <w:top w:val="nil"/>
              <w:left w:val="single" w:sz="4" w:space="0" w:color="auto"/>
              <w:bottom w:val="single" w:sz="4" w:space="0" w:color="auto"/>
              <w:right w:val="single" w:sz="4" w:space="0" w:color="auto"/>
            </w:tcBorders>
            <w:shd w:val="clear" w:color="auto" w:fill="auto"/>
            <w:hideMark/>
          </w:tcPr>
          <w:p w:rsidR="00FA00EA" w:rsidRPr="00FA00EA" w:rsidRDefault="00FA00EA" w:rsidP="00FA00EA">
            <w:pPr>
              <w:suppressAutoHyphens w:val="0"/>
              <w:jc w:val="right"/>
              <w:rPr>
                <w:sz w:val="20"/>
                <w:szCs w:val="20"/>
                <w:lang w:eastAsia="ru-RU"/>
              </w:rPr>
            </w:pPr>
            <w:r w:rsidRPr="00FA00EA">
              <w:rPr>
                <w:sz w:val="20"/>
                <w:szCs w:val="20"/>
                <w:lang w:eastAsia="ru-RU"/>
              </w:rPr>
              <w:t>18</w:t>
            </w:r>
          </w:p>
        </w:tc>
        <w:tc>
          <w:tcPr>
            <w:tcW w:w="1823" w:type="dxa"/>
            <w:tcBorders>
              <w:top w:val="nil"/>
              <w:left w:val="nil"/>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Диахим-Като (Набор для исследования кала на гельминты, метод Като) 500 опр. Кат.№ 447</w:t>
            </w:r>
          </w:p>
        </w:tc>
        <w:tc>
          <w:tcPr>
            <w:tcW w:w="5645" w:type="dxa"/>
            <w:tcBorders>
              <w:top w:val="nil"/>
              <w:left w:val="single" w:sz="4" w:space="0" w:color="auto"/>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Набор реагентов для исследования фекалий по Като предназначен для выявления яиц гельминтов методом толстого мазка и окраски по Като. Набор рассчитан на 500 определений при расходе 1мл на 10 пластинок Состав: реактив Като-1 флакон, гидрофильный целлофан-500 штук</w:t>
            </w:r>
          </w:p>
        </w:tc>
        <w:tc>
          <w:tcPr>
            <w:tcW w:w="720" w:type="dxa"/>
            <w:tcBorders>
              <w:top w:val="nil"/>
              <w:left w:val="single" w:sz="4" w:space="0" w:color="auto"/>
              <w:bottom w:val="single" w:sz="4" w:space="0" w:color="auto"/>
              <w:right w:val="nil"/>
            </w:tcBorders>
            <w:shd w:val="clear" w:color="auto" w:fill="auto"/>
            <w:noWrap/>
            <w:hideMark/>
          </w:tcPr>
          <w:p w:rsidR="00FA00EA" w:rsidRPr="00FA00EA" w:rsidRDefault="00FA00EA" w:rsidP="00FA00EA">
            <w:pPr>
              <w:suppressAutoHyphens w:val="0"/>
              <w:jc w:val="right"/>
              <w:rPr>
                <w:sz w:val="20"/>
                <w:szCs w:val="20"/>
                <w:lang w:eastAsia="ru-RU"/>
              </w:rPr>
            </w:pPr>
            <w:r w:rsidRPr="00FA00EA">
              <w:rPr>
                <w:sz w:val="20"/>
                <w:szCs w:val="20"/>
                <w:lang w:eastAsia="ru-RU"/>
              </w:rPr>
              <w:t>1</w:t>
            </w:r>
          </w:p>
        </w:tc>
        <w:tc>
          <w:tcPr>
            <w:tcW w:w="599" w:type="dxa"/>
            <w:tcBorders>
              <w:top w:val="nil"/>
              <w:left w:val="single" w:sz="4" w:space="0" w:color="auto"/>
              <w:bottom w:val="single" w:sz="4" w:space="0" w:color="auto"/>
              <w:right w:val="single" w:sz="4" w:space="0" w:color="auto"/>
            </w:tcBorders>
            <w:shd w:val="clear" w:color="auto" w:fill="auto"/>
            <w:noWrap/>
            <w:hideMark/>
          </w:tcPr>
          <w:p w:rsidR="00FA00EA" w:rsidRPr="00FA00EA" w:rsidRDefault="00FA00EA" w:rsidP="00FA00EA">
            <w:pPr>
              <w:suppressAutoHyphens w:val="0"/>
              <w:jc w:val="center"/>
              <w:rPr>
                <w:sz w:val="22"/>
                <w:szCs w:val="22"/>
                <w:lang w:eastAsia="ru-RU"/>
              </w:rPr>
            </w:pPr>
            <w:r w:rsidRPr="00FA00EA">
              <w:rPr>
                <w:sz w:val="22"/>
                <w:szCs w:val="22"/>
                <w:lang w:eastAsia="ru-RU"/>
              </w:rPr>
              <w:t>уп.</w:t>
            </w:r>
          </w:p>
        </w:tc>
      </w:tr>
      <w:tr w:rsidR="00FA00EA" w:rsidRPr="00FA00EA" w:rsidTr="00FA00EA">
        <w:trPr>
          <w:trHeight w:val="2025"/>
        </w:trPr>
        <w:tc>
          <w:tcPr>
            <w:tcW w:w="460" w:type="dxa"/>
            <w:tcBorders>
              <w:top w:val="nil"/>
              <w:left w:val="single" w:sz="4" w:space="0" w:color="auto"/>
              <w:bottom w:val="single" w:sz="4" w:space="0" w:color="auto"/>
              <w:right w:val="single" w:sz="4" w:space="0" w:color="auto"/>
            </w:tcBorders>
            <w:shd w:val="clear" w:color="auto" w:fill="auto"/>
            <w:hideMark/>
          </w:tcPr>
          <w:p w:rsidR="00FA00EA" w:rsidRPr="00FA00EA" w:rsidRDefault="00FA00EA" w:rsidP="00FA00EA">
            <w:pPr>
              <w:suppressAutoHyphens w:val="0"/>
              <w:jc w:val="right"/>
              <w:rPr>
                <w:sz w:val="20"/>
                <w:szCs w:val="20"/>
                <w:lang w:eastAsia="ru-RU"/>
              </w:rPr>
            </w:pPr>
            <w:r w:rsidRPr="00FA00EA">
              <w:rPr>
                <w:sz w:val="20"/>
                <w:szCs w:val="20"/>
                <w:lang w:eastAsia="ru-RU"/>
              </w:rPr>
              <w:t>19</w:t>
            </w:r>
          </w:p>
        </w:tc>
        <w:tc>
          <w:tcPr>
            <w:tcW w:w="1823" w:type="dxa"/>
            <w:tcBorders>
              <w:top w:val="nil"/>
              <w:left w:val="nil"/>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Диахим-Набор для окраски по Граму кат.№ 440К</w:t>
            </w:r>
          </w:p>
        </w:tc>
        <w:tc>
          <w:tcPr>
            <w:tcW w:w="5645" w:type="dxa"/>
            <w:tcBorders>
              <w:top w:val="nil"/>
              <w:left w:val="single" w:sz="4" w:space="0" w:color="auto"/>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 xml:space="preserve">Набор химических реактивов, красителей и/или других связанных с ними материалов для окрашивания по методике Грама , предназначенный для выявления и дифференцировки бактерий в биологическом/клиническом образце на основе химических и физических свойств их клеточных стенок. </w:t>
            </w:r>
            <w:r w:rsidRPr="00FA00EA">
              <w:rPr>
                <w:sz w:val="20"/>
                <w:szCs w:val="20"/>
                <w:lang w:eastAsia="ru-RU"/>
              </w:rPr>
              <w:br/>
              <w:t xml:space="preserve"> Состав набора : карболовый раствор генцианвиолета (100 мл),раствор Люголя (100 мл),раствор нейтрального красного (1%) (100 мл). Дополнительно в набор входят крышки-капельницы, 3шт. Количество определений &gt;= 200.</w:t>
            </w:r>
          </w:p>
        </w:tc>
        <w:tc>
          <w:tcPr>
            <w:tcW w:w="720" w:type="dxa"/>
            <w:tcBorders>
              <w:top w:val="nil"/>
              <w:left w:val="single" w:sz="4" w:space="0" w:color="auto"/>
              <w:bottom w:val="single" w:sz="4" w:space="0" w:color="auto"/>
              <w:right w:val="nil"/>
            </w:tcBorders>
            <w:shd w:val="clear" w:color="auto" w:fill="auto"/>
            <w:noWrap/>
            <w:hideMark/>
          </w:tcPr>
          <w:p w:rsidR="00FA00EA" w:rsidRPr="00FA00EA" w:rsidRDefault="00FA00EA" w:rsidP="00FA00EA">
            <w:pPr>
              <w:suppressAutoHyphens w:val="0"/>
              <w:jc w:val="right"/>
              <w:rPr>
                <w:sz w:val="20"/>
                <w:szCs w:val="20"/>
                <w:lang w:eastAsia="ru-RU"/>
              </w:rPr>
            </w:pPr>
            <w:r w:rsidRPr="00FA00EA">
              <w:rPr>
                <w:sz w:val="20"/>
                <w:szCs w:val="20"/>
                <w:lang w:eastAsia="ru-RU"/>
              </w:rPr>
              <w:t>1</w:t>
            </w:r>
          </w:p>
        </w:tc>
        <w:tc>
          <w:tcPr>
            <w:tcW w:w="599" w:type="dxa"/>
            <w:tcBorders>
              <w:top w:val="nil"/>
              <w:left w:val="single" w:sz="4" w:space="0" w:color="auto"/>
              <w:bottom w:val="single" w:sz="4" w:space="0" w:color="auto"/>
              <w:right w:val="single" w:sz="4" w:space="0" w:color="auto"/>
            </w:tcBorders>
            <w:shd w:val="clear" w:color="auto" w:fill="auto"/>
            <w:noWrap/>
            <w:hideMark/>
          </w:tcPr>
          <w:p w:rsidR="00FA00EA" w:rsidRPr="00FA00EA" w:rsidRDefault="00FA00EA" w:rsidP="00FA00EA">
            <w:pPr>
              <w:suppressAutoHyphens w:val="0"/>
              <w:jc w:val="center"/>
              <w:rPr>
                <w:sz w:val="22"/>
                <w:szCs w:val="22"/>
                <w:lang w:eastAsia="ru-RU"/>
              </w:rPr>
            </w:pPr>
            <w:r w:rsidRPr="00FA00EA">
              <w:rPr>
                <w:sz w:val="22"/>
                <w:szCs w:val="22"/>
                <w:lang w:eastAsia="ru-RU"/>
              </w:rPr>
              <w:t>уп.</w:t>
            </w:r>
          </w:p>
        </w:tc>
      </w:tr>
      <w:tr w:rsidR="00FA00EA" w:rsidRPr="00FA00EA" w:rsidTr="00FA00EA">
        <w:trPr>
          <w:trHeight w:val="2415"/>
        </w:trPr>
        <w:tc>
          <w:tcPr>
            <w:tcW w:w="460" w:type="dxa"/>
            <w:tcBorders>
              <w:top w:val="nil"/>
              <w:left w:val="single" w:sz="4" w:space="0" w:color="auto"/>
              <w:bottom w:val="single" w:sz="4" w:space="0" w:color="auto"/>
              <w:right w:val="single" w:sz="4" w:space="0" w:color="auto"/>
            </w:tcBorders>
            <w:shd w:val="clear" w:color="auto" w:fill="auto"/>
            <w:hideMark/>
          </w:tcPr>
          <w:p w:rsidR="00FA00EA" w:rsidRPr="00FA00EA" w:rsidRDefault="00FA00EA" w:rsidP="00FA00EA">
            <w:pPr>
              <w:suppressAutoHyphens w:val="0"/>
              <w:jc w:val="right"/>
              <w:rPr>
                <w:sz w:val="20"/>
                <w:szCs w:val="20"/>
                <w:lang w:eastAsia="ru-RU"/>
              </w:rPr>
            </w:pPr>
            <w:r w:rsidRPr="00FA00EA">
              <w:rPr>
                <w:sz w:val="20"/>
                <w:szCs w:val="20"/>
                <w:lang w:eastAsia="ru-RU"/>
              </w:rPr>
              <w:t>20</w:t>
            </w:r>
          </w:p>
        </w:tc>
        <w:tc>
          <w:tcPr>
            <w:tcW w:w="1823" w:type="dxa"/>
            <w:tcBorders>
              <w:top w:val="nil"/>
              <w:left w:val="nil"/>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Диахим-Набор для окраски по Циль-Нильсену кат.№ 441</w:t>
            </w:r>
          </w:p>
        </w:tc>
        <w:tc>
          <w:tcPr>
            <w:tcW w:w="5645" w:type="dxa"/>
            <w:tcBorders>
              <w:top w:val="nil"/>
              <w:left w:val="single" w:sz="4" w:space="0" w:color="auto"/>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 xml:space="preserve"> Набор химических реактивов, красителей и/или других связанных с ними материалов, представляющих собой красители для кислоустойчивых бактерий (AFB), для окраски по Цилю-Нильсену или Файту, предназначенныйдля демонстрации кислоустойчивых микроорганизмов (acid fast microorgansims) в клиническом образце, которые могут включать кислоустойчивые бактерии (AFB) рода Mycobacterium. Количество выполняемых тестов: &gt;=  200 штук.</w:t>
            </w:r>
            <w:r w:rsidRPr="00FA00EA">
              <w:rPr>
                <w:sz w:val="20"/>
                <w:szCs w:val="20"/>
                <w:lang w:eastAsia="ru-RU"/>
              </w:rPr>
              <w:br/>
              <w:t xml:space="preserve">Дополнительные характеристики: Состав набора-фуксин Циля (100 мл),метиленовый синий  (100 мл),солянокислый спирт (30 мл). Дополнительно в набор входят крышки-капельницы, 3шт. </w:t>
            </w:r>
            <w:r w:rsidRPr="00FA00EA">
              <w:rPr>
                <w:sz w:val="20"/>
                <w:szCs w:val="20"/>
                <w:lang w:eastAsia="ru-RU"/>
              </w:rPr>
              <w:br/>
            </w:r>
            <w:r w:rsidRPr="00FA00EA">
              <w:rPr>
                <w:sz w:val="20"/>
                <w:szCs w:val="20"/>
                <w:lang w:eastAsia="ru-RU"/>
              </w:rPr>
              <w:br/>
              <w:t>.</w:t>
            </w:r>
          </w:p>
        </w:tc>
        <w:tc>
          <w:tcPr>
            <w:tcW w:w="720" w:type="dxa"/>
            <w:tcBorders>
              <w:top w:val="nil"/>
              <w:left w:val="single" w:sz="4" w:space="0" w:color="auto"/>
              <w:bottom w:val="single" w:sz="4" w:space="0" w:color="auto"/>
              <w:right w:val="nil"/>
            </w:tcBorders>
            <w:shd w:val="clear" w:color="auto" w:fill="auto"/>
            <w:noWrap/>
            <w:hideMark/>
          </w:tcPr>
          <w:p w:rsidR="00FA00EA" w:rsidRPr="00FA00EA" w:rsidRDefault="00FA00EA" w:rsidP="00FA00EA">
            <w:pPr>
              <w:suppressAutoHyphens w:val="0"/>
              <w:jc w:val="right"/>
              <w:rPr>
                <w:sz w:val="20"/>
                <w:szCs w:val="20"/>
                <w:lang w:eastAsia="ru-RU"/>
              </w:rPr>
            </w:pPr>
            <w:r w:rsidRPr="00FA00EA">
              <w:rPr>
                <w:sz w:val="20"/>
                <w:szCs w:val="20"/>
                <w:lang w:eastAsia="ru-RU"/>
              </w:rPr>
              <w:t>1</w:t>
            </w:r>
          </w:p>
        </w:tc>
        <w:tc>
          <w:tcPr>
            <w:tcW w:w="599" w:type="dxa"/>
            <w:tcBorders>
              <w:top w:val="nil"/>
              <w:left w:val="single" w:sz="4" w:space="0" w:color="auto"/>
              <w:bottom w:val="single" w:sz="4" w:space="0" w:color="auto"/>
              <w:right w:val="single" w:sz="4" w:space="0" w:color="auto"/>
            </w:tcBorders>
            <w:shd w:val="clear" w:color="auto" w:fill="auto"/>
            <w:noWrap/>
            <w:hideMark/>
          </w:tcPr>
          <w:p w:rsidR="00FA00EA" w:rsidRPr="00FA00EA" w:rsidRDefault="00FA00EA" w:rsidP="00FA00EA">
            <w:pPr>
              <w:suppressAutoHyphens w:val="0"/>
              <w:jc w:val="center"/>
              <w:rPr>
                <w:sz w:val="22"/>
                <w:szCs w:val="22"/>
                <w:lang w:eastAsia="ru-RU"/>
              </w:rPr>
            </w:pPr>
            <w:r w:rsidRPr="00FA00EA">
              <w:rPr>
                <w:sz w:val="22"/>
                <w:szCs w:val="22"/>
                <w:lang w:eastAsia="ru-RU"/>
              </w:rPr>
              <w:t>уп.</w:t>
            </w:r>
          </w:p>
        </w:tc>
      </w:tr>
      <w:tr w:rsidR="00FA00EA" w:rsidRPr="00FA00EA" w:rsidTr="00FA00EA">
        <w:trPr>
          <w:trHeight w:val="2835"/>
        </w:trPr>
        <w:tc>
          <w:tcPr>
            <w:tcW w:w="460" w:type="dxa"/>
            <w:tcBorders>
              <w:top w:val="nil"/>
              <w:left w:val="single" w:sz="4" w:space="0" w:color="auto"/>
              <w:bottom w:val="single" w:sz="4" w:space="0" w:color="auto"/>
              <w:right w:val="single" w:sz="4" w:space="0" w:color="auto"/>
            </w:tcBorders>
            <w:shd w:val="clear" w:color="auto" w:fill="auto"/>
            <w:hideMark/>
          </w:tcPr>
          <w:p w:rsidR="00FA00EA" w:rsidRPr="00FA00EA" w:rsidRDefault="00FA00EA" w:rsidP="00FA00EA">
            <w:pPr>
              <w:suppressAutoHyphens w:val="0"/>
              <w:jc w:val="right"/>
              <w:rPr>
                <w:sz w:val="20"/>
                <w:szCs w:val="20"/>
                <w:lang w:eastAsia="ru-RU"/>
              </w:rPr>
            </w:pPr>
            <w:r w:rsidRPr="00FA00EA">
              <w:rPr>
                <w:sz w:val="20"/>
                <w:szCs w:val="20"/>
                <w:lang w:eastAsia="ru-RU"/>
              </w:rPr>
              <w:t>21</w:t>
            </w:r>
          </w:p>
        </w:tc>
        <w:tc>
          <w:tcPr>
            <w:tcW w:w="1823" w:type="dxa"/>
            <w:tcBorders>
              <w:top w:val="nil"/>
              <w:left w:val="nil"/>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Диахим-ГемиСтейн-Р "Классик"  (краситель по Романовскому) кат.№ 436</w:t>
            </w:r>
          </w:p>
        </w:tc>
        <w:tc>
          <w:tcPr>
            <w:tcW w:w="5645" w:type="dxa"/>
            <w:tcBorders>
              <w:top w:val="nil"/>
              <w:left w:val="single" w:sz="4" w:space="0" w:color="auto"/>
              <w:bottom w:val="single" w:sz="4" w:space="0" w:color="auto"/>
              <w:right w:val="nil"/>
            </w:tcBorders>
            <w:shd w:val="clear" w:color="auto" w:fill="auto"/>
            <w:hideMark/>
          </w:tcPr>
          <w:p w:rsidR="00FA00EA" w:rsidRPr="00FA00EA" w:rsidRDefault="00FA00EA" w:rsidP="00FA00EA">
            <w:pPr>
              <w:suppressAutoHyphens w:val="0"/>
              <w:spacing w:after="240"/>
              <w:rPr>
                <w:sz w:val="20"/>
                <w:szCs w:val="20"/>
                <w:lang w:eastAsia="ru-RU"/>
              </w:rPr>
            </w:pPr>
            <w:r w:rsidRPr="00FA00EA">
              <w:rPr>
                <w:sz w:val="20"/>
                <w:szCs w:val="20"/>
                <w:lang w:eastAsia="ru-RU"/>
              </w:rPr>
              <w:t xml:space="preserve">Набор химических реактивов и других связанных с ними материалов для окраски по методике Романовского, Гимзы, Мая-Грюнвальда, Райта, Лейшмана, Дженнера или Филда (Romanowsky, Giemsa, May-Gr?nwald, Wright, Leishman, Jenner или Field), предназначенный для визуализации гематопоэтических клеток, хромосом, паразитов крови и/или других патогенов крови в биологическом/клиническом образце.Назначение: Для ручной постановки.Количество выполняемых тестов &gt;=  1000. Дополнительные характеристики: Окраска 10000-25000 препаратов периферической крови в зависимости от разведения и метода </w:t>
            </w:r>
            <w:r w:rsidRPr="00FA00EA">
              <w:rPr>
                <w:sz w:val="20"/>
                <w:szCs w:val="20"/>
                <w:lang w:eastAsia="ru-RU"/>
              </w:rPr>
              <w:lastRenderedPageBreak/>
              <w:t xml:space="preserve">окрашивания.Краситель по Романовскому, используется только для окраски препаратов периферической крови. </w:t>
            </w:r>
          </w:p>
        </w:tc>
        <w:tc>
          <w:tcPr>
            <w:tcW w:w="720" w:type="dxa"/>
            <w:tcBorders>
              <w:top w:val="nil"/>
              <w:left w:val="single" w:sz="4" w:space="0" w:color="auto"/>
              <w:bottom w:val="single" w:sz="4" w:space="0" w:color="auto"/>
              <w:right w:val="nil"/>
            </w:tcBorders>
            <w:shd w:val="clear" w:color="auto" w:fill="auto"/>
            <w:noWrap/>
            <w:hideMark/>
          </w:tcPr>
          <w:p w:rsidR="00FA00EA" w:rsidRPr="00FA00EA" w:rsidRDefault="00FA00EA" w:rsidP="00FA00EA">
            <w:pPr>
              <w:suppressAutoHyphens w:val="0"/>
              <w:jc w:val="right"/>
              <w:rPr>
                <w:sz w:val="20"/>
                <w:szCs w:val="20"/>
                <w:lang w:eastAsia="ru-RU"/>
              </w:rPr>
            </w:pPr>
            <w:r w:rsidRPr="00FA00EA">
              <w:rPr>
                <w:sz w:val="20"/>
                <w:szCs w:val="20"/>
                <w:lang w:eastAsia="ru-RU"/>
              </w:rPr>
              <w:lastRenderedPageBreak/>
              <w:t>6</w:t>
            </w:r>
          </w:p>
        </w:tc>
        <w:tc>
          <w:tcPr>
            <w:tcW w:w="599" w:type="dxa"/>
            <w:tcBorders>
              <w:top w:val="nil"/>
              <w:left w:val="single" w:sz="4" w:space="0" w:color="auto"/>
              <w:bottom w:val="single" w:sz="4" w:space="0" w:color="auto"/>
              <w:right w:val="single" w:sz="4" w:space="0" w:color="auto"/>
            </w:tcBorders>
            <w:shd w:val="clear" w:color="auto" w:fill="auto"/>
            <w:noWrap/>
            <w:hideMark/>
          </w:tcPr>
          <w:p w:rsidR="00FA00EA" w:rsidRPr="00FA00EA" w:rsidRDefault="00FA00EA" w:rsidP="00FA00EA">
            <w:pPr>
              <w:suppressAutoHyphens w:val="0"/>
              <w:jc w:val="center"/>
              <w:rPr>
                <w:sz w:val="22"/>
                <w:szCs w:val="22"/>
                <w:lang w:eastAsia="ru-RU"/>
              </w:rPr>
            </w:pPr>
            <w:r w:rsidRPr="00FA00EA">
              <w:rPr>
                <w:sz w:val="22"/>
                <w:szCs w:val="22"/>
                <w:lang w:eastAsia="ru-RU"/>
              </w:rPr>
              <w:t>л.</w:t>
            </w:r>
          </w:p>
        </w:tc>
      </w:tr>
      <w:tr w:rsidR="00FA00EA" w:rsidRPr="00FA00EA" w:rsidTr="00FA00EA">
        <w:trPr>
          <w:trHeight w:val="2445"/>
        </w:trPr>
        <w:tc>
          <w:tcPr>
            <w:tcW w:w="460" w:type="dxa"/>
            <w:tcBorders>
              <w:top w:val="nil"/>
              <w:left w:val="single" w:sz="4" w:space="0" w:color="auto"/>
              <w:bottom w:val="single" w:sz="4" w:space="0" w:color="auto"/>
              <w:right w:val="single" w:sz="4" w:space="0" w:color="auto"/>
            </w:tcBorders>
            <w:shd w:val="clear" w:color="auto" w:fill="auto"/>
            <w:hideMark/>
          </w:tcPr>
          <w:p w:rsidR="00FA00EA" w:rsidRPr="00FA00EA" w:rsidRDefault="00FA00EA" w:rsidP="00FA00EA">
            <w:pPr>
              <w:suppressAutoHyphens w:val="0"/>
              <w:jc w:val="right"/>
              <w:rPr>
                <w:sz w:val="20"/>
                <w:szCs w:val="20"/>
                <w:lang w:eastAsia="ru-RU"/>
              </w:rPr>
            </w:pPr>
            <w:r w:rsidRPr="00FA00EA">
              <w:rPr>
                <w:sz w:val="20"/>
                <w:szCs w:val="20"/>
                <w:lang w:eastAsia="ru-RU"/>
              </w:rPr>
              <w:lastRenderedPageBreak/>
              <w:t>22</w:t>
            </w:r>
          </w:p>
        </w:tc>
        <w:tc>
          <w:tcPr>
            <w:tcW w:w="1823" w:type="dxa"/>
            <w:tcBorders>
              <w:top w:val="nil"/>
              <w:left w:val="nil"/>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Диахим-ГемиСтейн-Р  "Профессионал"  (краситель по Романовскому) кат.№ 435</w:t>
            </w:r>
          </w:p>
        </w:tc>
        <w:tc>
          <w:tcPr>
            <w:tcW w:w="5645" w:type="dxa"/>
            <w:tcBorders>
              <w:top w:val="nil"/>
              <w:left w:val="single" w:sz="4" w:space="0" w:color="auto"/>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 xml:space="preserve">Набор химических реактивов и других связанных с ними материалов для окраски по методике Романовского, Гимзы, Мая-Грюнвальда, Райта, Лейшмана, Дженнера или Филда (Romanowsky, Giemsa, May-Gr?nwald, Wright, Leishman, Jenner или Field), предназначенный для визуализации гематопоэтических клеток, хромосом, паразитов крови и/или других патогенов крови в биологическом/клиническом образце. Количество выполняемых тестов  1000 штук. Назначение - Для ручной постановки.    Краситель по Романовскому используется для универсальной окраски препаратов крови, костного мозга, лимфоузлов, хромосом, выпотных жидкостей, малярии, цитологических, цитохимических и др. препаратов.   </w:t>
            </w:r>
          </w:p>
        </w:tc>
        <w:tc>
          <w:tcPr>
            <w:tcW w:w="720" w:type="dxa"/>
            <w:tcBorders>
              <w:top w:val="nil"/>
              <w:left w:val="single" w:sz="4" w:space="0" w:color="auto"/>
              <w:bottom w:val="single" w:sz="4" w:space="0" w:color="auto"/>
              <w:right w:val="nil"/>
            </w:tcBorders>
            <w:shd w:val="clear" w:color="auto" w:fill="auto"/>
            <w:noWrap/>
            <w:hideMark/>
          </w:tcPr>
          <w:p w:rsidR="00FA00EA" w:rsidRPr="00FA00EA" w:rsidRDefault="00FA00EA" w:rsidP="00FA00EA">
            <w:pPr>
              <w:suppressAutoHyphens w:val="0"/>
              <w:jc w:val="right"/>
              <w:rPr>
                <w:sz w:val="20"/>
                <w:szCs w:val="20"/>
                <w:lang w:eastAsia="ru-RU"/>
              </w:rPr>
            </w:pPr>
            <w:r w:rsidRPr="00FA00EA">
              <w:rPr>
                <w:sz w:val="20"/>
                <w:szCs w:val="20"/>
                <w:lang w:eastAsia="ru-RU"/>
              </w:rPr>
              <w:t>6</w:t>
            </w:r>
          </w:p>
        </w:tc>
        <w:tc>
          <w:tcPr>
            <w:tcW w:w="599" w:type="dxa"/>
            <w:tcBorders>
              <w:top w:val="nil"/>
              <w:left w:val="single" w:sz="4" w:space="0" w:color="auto"/>
              <w:bottom w:val="single" w:sz="4" w:space="0" w:color="auto"/>
              <w:right w:val="single" w:sz="4" w:space="0" w:color="auto"/>
            </w:tcBorders>
            <w:shd w:val="clear" w:color="auto" w:fill="auto"/>
            <w:noWrap/>
            <w:hideMark/>
          </w:tcPr>
          <w:p w:rsidR="00FA00EA" w:rsidRPr="00FA00EA" w:rsidRDefault="00FA00EA" w:rsidP="00FA00EA">
            <w:pPr>
              <w:suppressAutoHyphens w:val="0"/>
              <w:jc w:val="center"/>
              <w:rPr>
                <w:sz w:val="22"/>
                <w:szCs w:val="22"/>
                <w:lang w:eastAsia="ru-RU"/>
              </w:rPr>
            </w:pPr>
            <w:r w:rsidRPr="00FA00EA">
              <w:rPr>
                <w:sz w:val="22"/>
                <w:szCs w:val="22"/>
                <w:lang w:eastAsia="ru-RU"/>
              </w:rPr>
              <w:t>л.</w:t>
            </w:r>
          </w:p>
        </w:tc>
      </w:tr>
      <w:tr w:rsidR="00FA00EA" w:rsidRPr="00FA00EA" w:rsidTr="00FA00EA">
        <w:trPr>
          <w:trHeight w:val="2190"/>
        </w:trPr>
        <w:tc>
          <w:tcPr>
            <w:tcW w:w="460" w:type="dxa"/>
            <w:tcBorders>
              <w:top w:val="nil"/>
              <w:left w:val="single" w:sz="4" w:space="0" w:color="auto"/>
              <w:bottom w:val="single" w:sz="4" w:space="0" w:color="auto"/>
              <w:right w:val="single" w:sz="4" w:space="0" w:color="auto"/>
            </w:tcBorders>
            <w:shd w:val="clear" w:color="auto" w:fill="auto"/>
            <w:hideMark/>
          </w:tcPr>
          <w:p w:rsidR="00FA00EA" w:rsidRPr="00FA00EA" w:rsidRDefault="00FA00EA" w:rsidP="00FA00EA">
            <w:pPr>
              <w:suppressAutoHyphens w:val="0"/>
              <w:jc w:val="right"/>
              <w:rPr>
                <w:sz w:val="20"/>
                <w:szCs w:val="20"/>
                <w:lang w:eastAsia="ru-RU"/>
              </w:rPr>
            </w:pPr>
            <w:r w:rsidRPr="00FA00EA">
              <w:rPr>
                <w:sz w:val="20"/>
                <w:szCs w:val="20"/>
                <w:lang w:eastAsia="ru-RU"/>
              </w:rPr>
              <w:t>23</w:t>
            </w:r>
          </w:p>
        </w:tc>
        <w:tc>
          <w:tcPr>
            <w:tcW w:w="1823" w:type="dxa"/>
            <w:tcBorders>
              <w:top w:val="nil"/>
              <w:left w:val="nil"/>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Диахим-ГемиСтейн - МГ (Эозин метиленовый синий по Май-Грюнвальду) кат.№ 437</w:t>
            </w:r>
          </w:p>
        </w:tc>
        <w:tc>
          <w:tcPr>
            <w:tcW w:w="5645" w:type="dxa"/>
            <w:tcBorders>
              <w:top w:val="nil"/>
              <w:left w:val="single" w:sz="4" w:space="0" w:color="auto"/>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Доп характеристики:</w:t>
            </w:r>
            <w:r w:rsidRPr="00FA00EA">
              <w:rPr>
                <w:sz w:val="20"/>
                <w:szCs w:val="20"/>
                <w:lang w:eastAsia="ru-RU"/>
              </w:rPr>
              <w:br/>
              <w:t>Фиксатор-краситель форменных элементов представляет собой раствор сухого красителя эозин метиленовый синий по Май-Грюнвальду  в метаноле. Фиксация в течение 2-3 минут (кровь), 2-3 мин костный мозг, 1-2 мин другие биопрепараты. Возможно докрашивание рабочим раствором фиксатора, приготовленным из расчета 1:3 (фиксатор-забуференная вода) в течение 10-15 мин. Возможна фиксация 3000 препаратов и окраска 4000 препаратов.</w:t>
            </w:r>
          </w:p>
        </w:tc>
        <w:tc>
          <w:tcPr>
            <w:tcW w:w="720" w:type="dxa"/>
            <w:tcBorders>
              <w:top w:val="nil"/>
              <w:left w:val="single" w:sz="4" w:space="0" w:color="auto"/>
              <w:bottom w:val="single" w:sz="4" w:space="0" w:color="auto"/>
              <w:right w:val="nil"/>
            </w:tcBorders>
            <w:shd w:val="clear" w:color="auto" w:fill="auto"/>
            <w:noWrap/>
            <w:hideMark/>
          </w:tcPr>
          <w:p w:rsidR="00FA00EA" w:rsidRPr="00FA00EA" w:rsidRDefault="00FA00EA" w:rsidP="00FA00EA">
            <w:pPr>
              <w:suppressAutoHyphens w:val="0"/>
              <w:jc w:val="right"/>
              <w:rPr>
                <w:sz w:val="20"/>
                <w:szCs w:val="20"/>
                <w:lang w:eastAsia="ru-RU"/>
              </w:rPr>
            </w:pPr>
            <w:r w:rsidRPr="00FA00EA">
              <w:rPr>
                <w:sz w:val="20"/>
                <w:szCs w:val="20"/>
                <w:lang w:eastAsia="ru-RU"/>
              </w:rPr>
              <w:t>18</w:t>
            </w:r>
          </w:p>
        </w:tc>
        <w:tc>
          <w:tcPr>
            <w:tcW w:w="599" w:type="dxa"/>
            <w:tcBorders>
              <w:top w:val="nil"/>
              <w:left w:val="single" w:sz="4" w:space="0" w:color="auto"/>
              <w:bottom w:val="single" w:sz="4" w:space="0" w:color="auto"/>
              <w:right w:val="single" w:sz="4" w:space="0" w:color="auto"/>
            </w:tcBorders>
            <w:shd w:val="clear" w:color="auto" w:fill="auto"/>
            <w:noWrap/>
            <w:hideMark/>
          </w:tcPr>
          <w:p w:rsidR="00FA00EA" w:rsidRPr="00FA00EA" w:rsidRDefault="00FA00EA" w:rsidP="00FA00EA">
            <w:pPr>
              <w:suppressAutoHyphens w:val="0"/>
              <w:jc w:val="center"/>
              <w:rPr>
                <w:sz w:val="22"/>
                <w:szCs w:val="22"/>
                <w:lang w:eastAsia="ru-RU"/>
              </w:rPr>
            </w:pPr>
            <w:r w:rsidRPr="00FA00EA">
              <w:rPr>
                <w:sz w:val="22"/>
                <w:szCs w:val="22"/>
                <w:lang w:eastAsia="ru-RU"/>
              </w:rPr>
              <w:t>л.</w:t>
            </w:r>
          </w:p>
        </w:tc>
      </w:tr>
      <w:tr w:rsidR="00FA00EA" w:rsidRPr="00FA00EA" w:rsidTr="00FA00EA">
        <w:trPr>
          <w:trHeight w:val="1485"/>
        </w:trPr>
        <w:tc>
          <w:tcPr>
            <w:tcW w:w="460" w:type="dxa"/>
            <w:tcBorders>
              <w:top w:val="nil"/>
              <w:left w:val="single" w:sz="4" w:space="0" w:color="auto"/>
              <w:bottom w:val="single" w:sz="4" w:space="0" w:color="auto"/>
              <w:right w:val="single" w:sz="4" w:space="0" w:color="auto"/>
            </w:tcBorders>
            <w:shd w:val="clear" w:color="auto" w:fill="auto"/>
            <w:hideMark/>
          </w:tcPr>
          <w:p w:rsidR="00FA00EA" w:rsidRPr="00FA00EA" w:rsidRDefault="00FA00EA" w:rsidP="00FA00EA">
            <w:pPr>
              <w:suppressAutoHyphens w:val="0"/>
              <w:jc w:val="right"/>
              <w:rPr>
                <w:sz w:val="20"/>
                <w:szCs w:val="20"/>
                <w:lang w:eastAsia="ru-RU"/>
              </w:rPr>
            </w:pPr>
            <w:r w:rsidRPr="00FA00EA">
              <w:rPr>
                <w:sz w:val="20"/>
                <w:szCs w:val="20"/>
                <w:lang w:eastAsia="ru-RU"/>
              </w:rPr>
              <w:t>24</w:t>
            </w:r>
          </w:p>
        </w:tc>
        <w:tc>
          <w:tcPr>
            <w:tcW w:w="1823" w:type="dxa"/>
            <w:tcBorders>
              <w:top w:val="nil"/>
              <w:left w:val="nil"/>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Тест-полоски URIstik H10, (100 шт./уп.) DIRUI</w:t>
            </w:r>
          </w:p>
        </w:tc>
        <w:tc>
          <w:tcPr>
            <w:tcW w:w="5645" w:type="dxa"/>
            <w:tcBorders>
              <w:top w:val="nil"/>
              <w:left w:val="single" w:sz="4" w:space="0" w:color="auto"/>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Реагентные полоски DIRUI H10 представляют собой тестовые полоски для полуколичественного анализа следующих параметров мочи (10 параметров): Глюкоза, Билирубин, Кетоны, Удельный вес, Скрытая кровь, pH, Белок, Уробилиноген, Нитриты, Лейкоциты.</w:t>
            </w:r>
            <w:r w:rsidRPr="00FA00EA">
              <w:rPr>
                <w:sz w:val="20"/>
                <w:szCs w:val="20"/>
                <w:lang w:eastAsia="ru-RU"/>
              </w:rPr>
              <w:br/>
              <w:t>Упаковка 100 штук</w:t>
            </w:r>
          </w:p>
        </w:tc>
        <w:tc>
          <w:tcPr>
            <w:tcW w:w="720" w:type="dxa"/>
            <w:tcBorders>
              <w:top w:val="nil"/>
              <w:left w:val="single" w:sz="4" w:space="0" w:color="auto"/>
              <w:bottom w:val="single" w:sz="4" w:space="0" w:color="auto"/>
              <w:right w:val="nil"/>
            </w:tcBorders>
            <w:shd w:val="clear" w:color="auto" w:fill="auto"/>
            <w:noWrap/>
            <w:hideMark/>
          </w:tcPr>
          <w:p w:rsidR="00FA00EA" w:rsidRPr="00FA00EA" w:rsidRDefault="00FA00EA" w:rsidP="00FA00EA">
            <w:pPr>
              <w:suppressAutoHyphens w:val="0"/>
              <w:jc w:val="right"/>
              <w:rPr>
                <w:sz w:val="20"/>
                <w:szCs w:val="20"/>
                <w:lang w:eastAsia="ru-RU"/>
              </w:rPr>
            </w:pPr>
            <w:r w:rsidRPr="00FA00EA">
              <w:rPr>
                <w:sz w:val="20"/>
                <w:szCs w:val="20"/>
                <w:lang w:eastAsia="ru-RU"/>
              </w:rPr>
              <w:t>24</w:t>
            </w:r>
          </w:p>
        </w:tc>
        <w:tc>
          <w:tcPr>
            <w:tcW w:w="599" w:type="dxa"/>
            <w:tcBorders>
              <w:top w:val="nil"/>
              <w:left w:val="single" w:sz="4" w:space="0" w:color="auto"/>
              <w:bottom w:val="single" w:sz="4" w:space="0" w:color="auto"/>
              <w:right w:val="single" w:sz="4" w:space="0" w:color="auto"/>
            </w:tcBorders>
            <w:shd w:val="clear" w:color="auto" w:fill="auto"/>
            <w:noWrap/>
            <w:hideMark/>
          </w:tcPr>
          <w:p w:rsidR="00FA00EA" w:rsidRPr="00FA00EA" w:rsidRDefault="00FA00EA" w:rsidP="00FA00EA">
            <w:pPr>
              <w:suppressAutoHyphens w:val="0"/>
              <w:jc w:val="center"/>
              <w:rPr>
                <w:sz w:val="22"/>
                <w:szCs w:val="22"/>
                <w:lang w:eastAsia="ru-RU"/>
              </w:rPr>
            </w:pPr>
            <w:r w:rsidRPr="00FA00EA">
              <w:rPr>
                <w:sz w:val="22"/>
                <w:szCs w:val="22"/>
                <w:lang w:eastAsia="ru-RU"/>
              </w:rPr>
              <w:t>уп.</w:t>
            </w:r>
          </w:p>
        </w:tc>
      </w:tr>
      <w:tr w:rsidR="00FA00EA" w:rsidRPr="00FA00EA" w:rsidTr="00FA00EA">
        <w:trPr>
          <w:trHeight w:val="3045"/>
        </w:trPr>
        <w:tc>
          <w:tcPr>
            <w:tcW w:w="460" w:type="dxa"/>
            <w:tcBorders>
              <w:top w:val="nil"/>
              <w:left w:val="single" w:sz="4" w:space="0" w:color="auto"/>
              <w:bottom w:val="single" w:sz="4" w:space="0" w:color="auto"/>
              <w:right w:val="single" w:sz="4" w:space="0" w:color="auto"/>
            </w:tcBorders>
            <w:shd w:val="clear" w:color="auto" w:fill="auto"/>
            <w:hideMark/>
          </w:tcPr>
          <w:p w:rsidR="00FA00EA" w:rsidRPr="00FA00EA" w:rsidRDefault="00FA00EA" w:rsidP="00FA00EA">
            <w:pPr>
              <w:suppressAutoHyphens w:val="0"/>
              <w:jc w:val="right"/>
              <w:rPr>
                <w:sz w:val="20"/>
                <w:szCs w:val="20"/>
                <w:lang w:eastAsia="ru-RU"/>
              </w:rPr>
            </w:pPr>
            <w:r w:rsidRPr="00FA00EA">
              <w:rPr>
                <w:sz w:val="20"/>
                <w:szCs w:val="20"/>
                <w:lang w:eastAsia="ru-RU"/>
              </w:rPr>
              <w:t>25</w:t>
            </w:r>
          </w:p>
        </w:tc>
        <w:tc>
          <w:tcPr>
            <w:tcW w:w="1823" w:type="dxa"/>
            <w:tcBorders>
              <w:top w:val="nil"/>
              <w:left w:val="nil"/>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ИммуноХром-ПСА-Экспресс №20</w:t>
            </w:r>
          </w:p>
        </w:tc>
        <w:tc>
          <w:tcPr>
            <w:tcW w:w="5645" w:type="dxa"/>
            <w:tcBorders>
              <w:top w:val="nil"/>
              <w:left w:val="single" w:sz="4" w:space="0" w:color="auto"/>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Набор реагентов для иммунохроматографического выявления специфического антигена предстательной железы в сыворотке, плазме и цельной крови человека.</w:t>
            </w:r>
            <w:r w:rsidRPr="00FA00EA">
              <w:rPr>
                <w:sz w:val="20"/>
                <w:szCs w:val="20"/>
                <w:lang w:eastAsia="ru-RU"/>
              </w:rPr>
              <w:br/>
              <w:t>Состав набора:</w:t>
            </w:r>
            <w:r w:rsidRPr="00FA00EA">
              <w:rPr>
                <w:sz w:val="20"/>
                <w:szCs w:val="20"/>
                <w:lang w:eastAsia="ru-RU"/>
              </w:rPr>
              <w:br/>
              <w:t>1. тест-плашка в герметичной упаковке - 20 шт.;</w:t>
            </w:r>
            <w:r w:rsidRPr="00FA00EA">
              <w:rPr>
                <w:sz w:val="20"/>
                <w:szCs w:val="20"/>
                <w:lang w:eastAsia="ru-RU"/>
              </w:rPr>
              <w:br/>
              <w:t>2. пипетка для образца - 20 шт;</w:t>
            </w:r>
            <w:r w:rsidRPr="00FA00EA">
              <w:rPr>
                <w:sz w:val="20"/>
                <w:szCs w:val="20"/>
                <w:lang w:eastAsia="ru-RU"/>
              </w:rPr>
              <w:br/>
              <w:t>3. буфер - 1 флакон;</w:t>
            </w:r>
            <w:r w:rsidRPr="00FA00EA">
              <w:rPr>
                <w:sz w:val="20"/>
                <w:szCs w:val="20"/>
                <w:lang w:eastAsia="ru-RU"/>
              </w:rPr>
              <w:br/>
              <w:t>4. ланцет - 20 шт.</w:t>
            </w:r>
            <w:r w:rsidRPr="00FA00EA">
              <w:rPr>
                <w:sz w:val="20"/>
                <w:szCs w:val="20"/>
                <w:lang w:eastAsia="ru-RU"/>
              </w:rPr>
              <w:br/>
              <w:t>Чувствительность: 4 нг/мл.</w:t>
            </w:r>
            <w:r w:rsidRPr="00FA00EA">
              <w:rPr>
                <w:sz w:val="20"/>
                <w:szCs w:val="20"/>
                <w:lang w:eastAsia="ru-RU"/>
              </w:rPr>
              <w:br/>
              <w:t>Условия хранения: при температуре 2-30 оС до конца срока годности в упаковке производителя.</w:t>
            </w:r>
            <w:r w:rsidRPr="00FA00EA">
              <w:rPr>
                <w:sz w:val="20"/>
                <w:szCs w:val="20"/>
                <w:lang w:eastAsia="ru-RU"/>
              </w:rPr>
              <w:br/>
              <w:t>Количество тестов - 20.</w:t>
            </w:r>
          </w:p>
        </w:tc>
        <w:tc>
          <w:tcPr>
            <w:tcW w:w="720" w:type="dxa"/>
            <w:tcBorders>
              <w:top w:val="nil"/>
              <w:left w:val="single" w:sz="4" w:space="0" w:color="auto"/>
              <w:bottom w:val="single" w:sz="4" w:space="0" w:color="auto"/>
              <w:right w:val="nil"/>
            </w:tcBorders>
            <w:shd w:val="clear" w:color="auto" w:fill="auto"/>
            <w:noWrap/>
            <w:hideMark/>
          </w:tcPr>
          <w:p w:rsidR="00FA00EA" w:rsidRPr="00FA00EA" w:rsidRDefault="00FA00EA" w:rsidP="00FA00EA">
            <w:pPr>
              <w:suppressAutoHyphens w:val="0"/>
              <w:jc w:val="right"/>
              <w:rPr>
                <w:sz w:val="20"/>
                <w:szCs w:val="20"/>
                <w:lang w:eastAsia="ru-RU"/>
              </w:rPr>
            </w:pPr>
            <w:r w:rsidRPr="00FA00EA">
              <w:rPr>
                <w:sz w:val="20"/>
                <w:szCs w:val="20"/>
                <w:lang w:eastAsia="ru-RU"/>
              </w:rPr>
              <w:t>2</w:t>
            </w:r>
          </w:p>
        </w:tc>
        <w:tc>
          <w:tcPr>
            <w:tcW w:w="599" w:type="dxa"/>
            <w:tcBorders>
              <w:top w:val="nil"/>
              <w:left w:val="single" w:sz="4" w:space="0" w:color="auto"/>
              <w:bottom w:val="single" w:sz="4" w:space="0" w:color="auto"/>
              <w:right w:val="single" w:sz="4" w:space="0" w:color="auto"/>
            </w:tcBorders>
            <w:shd w:val="clear" w:color="auto" w:fill="auto"/>
            <w:noWrap/>
            <w:hideMark/>
          </w:tcPr>
          <w:p w:rsidR="00FA00EA" w:rsidRPr="00FA00EA" w:rsidRDefault="00FA00EA" w:rsidP="00FA00EA">
            <w:pPr>
              <w:suppressAutoHyphens w:val="0"/>
              <w:jc w:val="center"/>
              <w:rPr>
                <w:sz w:val="22"/>
                <w:szCs w:val="22"/>
                <w:lang w:eastAsia="ru-RU"/>
              </w:rPr>
            </w:pPr>
            <w:r w:rsidRPr="00FA00EA">
              <w:rPr>
                <w:sz w:val="22"/>
                <w:szCs w:val="22"/>
                <w:lang w:eastAsia="ru-RU"/>
              </w:rPr>
              <w:t>шт.</w:t>
            </w:r>
          </w:p>
        </w:tc>
      </w:tr>
      <w:tr w:rsidR="00FA00EA" w:rsidRPr="00FA00EA" w:rsidTr="00FA00EA">
        <w:trPr>
          <w:trHeight w:val="3075"/>
        </w:trPr>
        <w:tc>
          <w:tcPr>
            <w:tcW w:w="460" w:type="dxa"/>
            <w:tcBorders>
              <w:top w:val="nil"/>
              <w:left w:val="single" w:sz="4" w:space="0" w:color="auto"/>
              <w:bottom w:val="single" w:sz="4" w:space="0" w:color="auto"/>
              <w:right w:val="single" w:sz="4" w:space="0" w:color="auto"/>
            </w:tcBorders>
            <w:shd w:val="clear" w:color="auto" w:fill="auto"/>
            <w:hideMark/>
          </w:tcPr>
          <w:p w:rsidR="00FA00EA" w:rsidRPr="00FA00EA" w:rsidRDefault="00FA00EA" w:rsidP="00FA00EA">
            <w:pPr>
              <w:suppressAutoHyphens w:val="0"/>
              <w:jc w:val="right"/>
              <w:rPr>
                <w:sz w:val="20"/>
                <w:szCs w:val="20"/>
                <w:lang w:eastAsia="ru-RU"/>
              </w:rPr>
            </w:pPr>
            <w:r w:rsidRPr="00FA00EA">
              <w:rPr>
                <w:sz w:val="20"/>
                <w:szCs w:val="20"/>
                <w:lang w:eastAsia="ru-RU"/>
              </w:rPr>
              <w:lastRenderedPageBreak/>
              <w:t>26</w:t>
            </w:r>
          </w:p>
        </w:tc>
        <w:tc>
          <w:tcPr>
            <w:tcW w:w="1823" w:type="dxa"/>
            <w:tcBorders>
              <w:top w:val="nil"/>
              <w:left w:val="nil"/>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 xml:space="preserve">Экспресс-тест  для опред. миоглобин/ креатинкиназа- MB/ тропонин I №CMA-435 </w:t>
            </w:r>
          </w:p>
        </w:tc>
        <w:tc>
          <w:tcPr>
            <w:tcW w:w="5645" w:type="dxa"/>
            <w:tcBorders>
              <w:top w:val="nil"/>
              <w:left w:val="single" w:sz="4" w:space="0" w:color="auto"/>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Набор тест-кассет для  быстрого качественного иммунохроматографического одновременного  определения тропонина, миоглобина и креатинкиназы-МВ в цельной крови(капиллярной или венозной), сыворотке или плазме.  Минимальный определяемый уровень:тропонина I- 0,5 нг/мл; миоглобина- 50нг/мл; креатинкиназа-МВ-5 нг/мл.  Отн.чувствительность : 98,7-100 %. Отн.специфичность: 97,7-98,8%. Время определения: 10 мин. Температура  хранения  наборов  от +2 до +30 С. Срок годности -  14 мес.  Состав набора: Упаковка картонная-1;Тест-кассеты в индивидуальной герметичной упаковке - 20 шт.;Пипетки одноразовые  для образца-20 шт. Микрофлакон с буферным раствором(буфер)-1 шт. Инструкция по применению на русском языке-1 шт.</w:t>
            </w:r>
          </w:p>
        </w:tc>
        <w:tc>
          <w:tcPr>
            <w:tcW w:w="720" w:type="dxa"/>
            <w:tcBorders>
              <w:top w:val="nil"/>
              <w:left w:val="single" w:sz="4" w:space="0" w:color="auto"/>
              <w:bottom w:val="single" w:sz="4" w:space="0" w:color="auto"/>
              <w:right w:val="nil"/>
            </w:tcBorders>
            <w:shd w:val="clear" w:color="auto" w:fill="auto"/>
            <w:noWrap/>
            <w:hideMark/>
          </w:tcPr>
          <w:p w:rsidR="00FA00EA" w:rsidRPr="00FA00EA" w:rsidRDefault="00FA00EA" w:rsidP="00FA00EA">
            <w:pPr>
              <w:suppressAutoHyphens w:val="0"/>
              <w:jc w:val="right"/>
              <w:rPr>
                <w:sz w:val="20"/>
                <w:szCs w:val="20"/>
                <w:lang w:eastAsia="ru-RU"/>
              </w:rPr>
            </w:pPr>
            <w:r w:rsidRPr="00FA00EA">
              <w:rPr>
                <w:sz w:val="20"/>
                <w:szCs w:val="20"/>
                <w:lang w:eastAsia="ru-RU"/>
              </w:rPr>
              <w:t>1</w:t>
            </w:r>
          </w:p>
        </w:tc>
        <w:tc>
          <w:tcPr>
            <w:tcW w:w="599" w:type="dxa"/>
            <w:tcBorders>
              <w:top w:val="nil"/>
              <w:left w:val="single" w:sz="4" w:space="0" w:color="auto"/>
              <w:bottom w:val="single" w:sz="4" w:space="0" w:color="auto"/>
              <w:right w:val="single" w:sz="4" w:space="0" w:color="auto"/>
            </w:tcBorders>
            <w:shd w:val="clear" w:color="auto" w:fill="auto"/>
            <w:noWrap/>
            <w:hideMark/>
          </w:tcPr>
          <w:p w:rsidR="00FA00EA" w:rsidRPr="00FA00EA" w:rsidRDefault="00FA00EA" w:rsidP="00FA00EA">
            <w:pPr>
              <w:suppressAutoHyphens w:val="0"/>
              <w:jc w:val="center"/>
              <w:rPr>
                <w:sz w:val="22"/>
                <w:szCs w:val="22"/>
                <w:lang w:eastAsia="ru-RU"/>
              </w:rPr>
            </w:pPr>
            <w:r w:rsidRPr="00FA00EA">
              <w:rPr>
                <w:sz w:val="22"/>
                <w:szCs w:val="22"/>
                <w:lang w:eastAsia="ru-RU"/>
              </w:rPr>
              <w:t>уп.</w:t>
            </w:r>
          </w:p>
        </w:tc>
      </w:tr>
      <w:tr w:rsidR="00FA00EA" w:rsidRPr="00FA00EA" w:rsidTr="00FA00EA">
        <w:trPr>
          <w:trHeight w:val="2520"/>
        </w:trPr>
        <w:tc>
          <w:tcPr>
            <w:tcW w:w="460" w:type="dxa"/>
            <w:tcBorders>
              <w:top w:val="nil"/>
              <w:left w:val="single" w:sz="4" w:space="0" w:color="auto"/>
              <w:bottom w:val="single" w:sz="4" w:space="0" w:color="auto"/>
              <w:right w:val="single" w:sz="4" w:space="0" w:color="auto"/>
            </w:tcBorders>
            <w:shd w:val="clear" w:color="auto" w:fill="auto"/>
            <w:hideMark/>
          </w:tcPr>
          <w:p w:rsidR="00FA00EA" w:rsidRPr="00FA00EA" w:rsidRDefault="00FA00EA" w:rsidP="00FA00EA">
            <w:pPr>
              <w:suppressAutoHyphens w:val="0"/>
              <w:jc w:val="right"/>
              <w:rPr>
                <w:sz w:val="20"/>
                <w:szCs w:val="20"/>
                <w:lang w:eastAsia="ru-RU"/>
              </w:rPr>
            </w:pPr>
            <w:r w:rsidRPr="00FA00EA">
              <w:rPr>
                <w:sz w:val="20"/>
                <w:szCs w:val="20"/>
                <w:lang w:eastAsia="ru-RU"/>
              </w:rPr>
              <w:t>27</w:t>
            </w:r>
          </w:p>
        </w:tc>
        <w:tc>
          <w:tcPr>
            <w:tcW w:w="1823" w:type="dxa"/>
            <w:tcBorders>
              <w:top w:val="nil"/>
              <w:left w:val="nil"/>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ИммуноХром-антиМТ-Экспресс 20 тестов</w:t>
            </w:r>
          </w:p>
        </w:tc>
        <w:tc>
          <w:tcPr>
            <w:tcW w:w="5645" w:type="dxa"/>
            <w:tcBorders>
              <w:top w:val="nil"/>
              <w:left w:val="single" w:sz="4" w:space="0" w:color="auto"/>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Набор предназначен для одноэтапного быстрого качественного определения антител к Mycobacterium  tuberculosis в цельной крови.</w:t>
            </w:r>
            <w:r w:rsidRPr="00FA00EA">
              <w:rPr>
                <w:sz w:val="20"/>
                <w:szCs w:val="20"/>
                <w:lang w:eastAsia="ru-RU"/>
              </w:rPr>
              <w:br/>
              <w:t>Состав набора:</w:t>
            </w:r>
            <w:r w:rsidRPr="00FA00EA">
              <w:rPr>
                <w:sz w:val="20"/>
                <w:szCs w:val="20"/>
                <w:lang w:eastAsia="ru-RU"/>
              </w:rPr>
              <w:br/>
              <w:t>- индикаторная полоска, запаянная в плашку, в герметичной упаковке - 20 шт;</w:t>
            </w:r>
            <w:r w:rsidRPr="00FA00EA">
              <w:rPr>
                <w:sz w:val="20"/>
                <w:szCs w:val="20"/>
                <w:lang w:eastAsia="ru-RU"/>
              </w:rPr>
              <w:br/>
              <w:t>- пипетка для образца - 20 шт.;</w:t>
            </w:r>
            <w:r w:rsidRPr="00FA00EA">
              <w:rPr>
                <w:sz w:val="20"/>
                <w:szCs w:val="20"/>
                <w:lang w:eastAsia="ru-RU"/>
              </w:rPr>
              <w:br/>
              <w:t>- буфер -  флакон; ланцет - 20 шт.</w:t>
            </w:r>
            <w:r w:rsidRPr="00FA00EA">
              <w:rPr>
                <w:sz w:val="20"/>
                <w:szCs w:val="20"/>
                <w:lang w:eastAsia="ru-RU"/>
              </w:rPr>
              <w:br/>
              <w:t>Набор следует хранить при температуре 2-28 оС до конца срока годности, указанного на упаковке.</w:t>
            </w:r>
          </w:p>
        </w:tc>
        <w:tc>
          <w:tcPr>
            <w:tcW w:w="720" w:type="dxa"/>
            <w:tcBorders>
              <w:top w:val="nil"/>
              <w:left w:val="single" w:sz="4" w:space="0" w:color="auto"/>
              <w:bottom w:val="single" w:sz="4" w:space="0" w:color="auto"/>
              <w:right w:val="nil"/>
            </w:tcBorders>
            <w:shd w:val="clear" w:color="auto" w:fill="auto"/>
            <w:noWrap/>
            <w:hideMark/>
          </w:tcPr>
          <w:p w:rsidR="00FA00EA" w:rsidRPr="00FA00EA" w:rsidRDefault="00FA00EA" w:rsidP="00FA00EA">
            <w:pPr>
              <w:suppressAutoHyphens w:val="0"/>
              <w:jc w:val="right"/>
              <w:rPr>
                <w:sz w:val="20"/>
                <w:szCs w:val="20"/>
                <w:lang w:eastAsia="ru-RU"/>
              </w:rPr>
            </w:pPr>
            <w:r w:rsidRPr="00FA00EA">
              <w:rPr>
                <w:sz w:val="20"/>
                <w:szCs w:val="20"/>
                <w:lang w:eastAsia="ru-RU"/>
              </w:rPr>
              <w:t>1</w:t>
            </w:r>
          </w:p>
        </w:tc>
        <w:tc>
          <w:tcPr>
            <w:tcW w:w="599" w:type="dxa"/>
            <w:tcBorders>
              <w:top w:val="nil"/>
              <w:left w:val="single" w:sz="4" w:space="0" w:color="auto"/>
              <w:bottom w:val="single" w:sz="4" w:space="0" w:color="auto"/>
              <w:right w:val="single" w:sz="4" w:space="0" w:color="auto"/>
            </w:tcBorders>
            <w:shd w:val="clear" w:color="auto" w:fill="auto"/>
            <w:noWrap/>
            <w:hideMark/>
          </w:tcPr>
          <w:p w:rsidR="00FA00EA" w:rsidRPr="00FA00EA" w:rsidRDefault="00FA00EA" w:rsidP="00FA00EA">
            <w:pPr>
              <w:suppressAutoHyphens w:val="0"/>
              <w:jc w:val="center"/>
              <w:rPr>
                <w:sz w:val="22"/>
                <w:szCs w:val="22"/>
                <w:lang w:eastAsia="ru-RU"/>
              </w:rPr>
            </w:pPr>
            <w:r w:rsidRPr="00FA00EA">
              <w:rPr>
                <w:sz w:val="22"/>
                <w:szCs w:val="22"/>
                <w:lang w:eastAsia="ru-RU"/>
              </w:rPr>
              <w:t>уп.</w:t>
            </w:r>
          </w:p>
        </w:tc>
      </w:tr>
      <w:tr w:rsidR="00FA00EA" w:rsidRPr="00FA00EA" w:rsidTr="00FA00EA">
        <w:trPr>
          <w:trHeight w:val="1920"/>
        </w:trPr>
        <w:tc>
          <w:tcPr>
            <w:tcW w:w="460" w:type="dxa"/>
            <w:tcBorders>
              <w:top w:val="nil"/>
              <w:left w:val="single" w:sz="4" w:space="0" w:color="auto"/>
              <w:bottom w:val="single" w:sz="4" w:space="0" w:color="auto"/>
              <w:right w:val="single" w:sz="4" w:space="0" w:color="auto"/>
            </w:tcBorders>
            <w:shd w:val="clear" w:color="auto" w:fill="auto"/>
            <w:hideMark/>
          </w:tcPr>
          <w:p w:rsidR="00FA00EA" w:rsidRPr="00FA00EA" w:rsidRDefault="00FA00EA" w:rsidP="00FA00EA">
            <w:pPr>
              <w:suppressAutoHyphens w:val="0"/>
              <w:jc w:val="right"/>
              <w:rPr>
                <w:sz w:val="20"/>
                <w:szCs w:val="20"/>
                <w:lang w:eastAsia="ru-RU"/>
              </w:rPr>
            </w:pPr>
            <w:r w:rsidRPr="00FA00EA">
              <w:rPr>
                <w:sz w:val="20"/>
                <w:szCs w:val="20"/>
                <w:lang w:eastAsia="ru-RU"/>
              </w:rPr>
              <w:t>28</w:t>
            </w:r>
          </w:p>
        </w:tc>
        <w:tc>
          <w:tcPr>
            <w:tcW w:w="1823" w:type="dxa"/>
            <w:tcBorders>
              <w:top w:val="nil"/>
              <w:left w:val="nil"/>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Ланцеты автомат, Медланс Плюс Универсал, синие (1.8мм),шир.21G, (200 шт./уп.) кат 7644</w:t>
            </w:r>
          </w:p>
        </w:tc>
        <w:tc>
          <w:tcPr>
            <w:tcW w:w="5645" w:type="dxa"/>
            <w:tcBorders>
              <w:top w:val="nil"/>
              <w:left w:val="single" w:sz="4" w:space="0" w:color="auto"/>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 xml:space="preserve"> Контактно-активируемые механические ланцеты/скарификаторы однократного применения  для прокалывания кожного покрова и взятия капиллярной крови у пациента. Идентификационный цвет синий, рабочий инструмент: игла=21G(0.8 мм), глубина прокола -1,8 мм.</w:t>
            </w:r>
            <w:r w:rsidRPr="00FA00EA">
              <w:rPr>
                <w:sz w:val="20"/>
                <w:szCs w:val="20"/>
                <w:lang w:eastAsia="ru-RU"/>
              </w:rPr>
              <w:br/>
              <w:t>Наиболее подходит для больших образцов крови,  для измерения глюкозы, гемоглобина, холестерина, определения группы крови, коагуляции и пр. Упакованы в картонную коробку по 200 шт</w:t>
            </w:r>
          </w:p>
        </w:tc>
        <w:tc>
          <w:tcPr>
            <w:tcW w:w="720" w:type="dxa"/>
            <w:tcBorders>
              <w:top w:val="nil"/>
              <w:left w:val="single" w:sz="4" w:space="0" w:color="auto"/>
              <w:bottom w:val="single" w:sz="4" w:space="0" w:color="auto"/>
              <w:right w:val="nil"/>
            </w:tcBorders>
            <w:shd w:val="clear" w:color="auto" w:fill="auto"/>
            <w:noWrap/>
            <w:hideMark/>
          </w:tcPr>
          <w:p w:rsidR="00FA00EA" w:rsidRPr="00FA00EA" w:rsidRDefault="00FA00EA" w:rsidP="00FA00EA">
            <w:pPr>
              <w:suppressAutoHyphens w:val="0"/>
              <w:jc w:val="right"/>
              <w:rPr>
                <w:sz w:val="20"/>
                <w:szCs w:val="20"/>
                <w:lang w:eastAsia="ru-RU"/>
              </w:rPr>
            </w:pPr>
            <w:r w:rsidRPr="00FA00EA">
              <w:rPr>
                <w:sz w:val="20"/>
                <w:szCs w:val="20"/>
                <w:lang w:eastAsia="ru-RU"/>
              </w:rPr>
              <w:t>4</w:t>
            </w:r>
          </w:p>
        </w:tc>
        <w:tc>
          <w:tcPr>
            <w:tcW w:w="599" w:type="dxa"/>
            <w:tcBorders>
              <w:top w:val="nil"/>
              <w:left w:val="single" w:sz="4" w:space="0" w:color="auto"/>
              <w:bottom w:val="single" w:sz="4" w:space="0" w:color="auto"/>
              <w:right w:val="single" w:sz="4" w:space="0" w:color="auto"/>
            </w:tcBorders>
            <w:shd w:val="clear" w:color="auto" w:fill="auto"/>
            <w:noWrap/>
            <w:hideMark/>
          </w:tcPr>
          <w:p w:rsidR="00FA00EA" w:rsidRPr="00FA00EA" w:rsidRDefault="00FA00EA" w:rsidP="00FA00EA">
            <w:pPr>
              <w:suppressAutoHyphens w:val="0"/>
              <w:jc w:val="center"/>
              <w:rPr>
                <w:sz w:val="22"/>
                <w:szCs w:val="22"/>
                <w:lang w:eastAsia="ru-RU"/>
              </w:rPr>
            </w:pPr>
            <w:r w:rsidRPr="00FA00EA">
              <w:rPr>
                <w:sz w:val="22"/>
                <w:szCs w:val="22"/>
                <w:lang w:eastAsia="ru-RU"/>
              </w:rPr>
              <w:t>уп.</w:t>
            </w:r>
          </w:p>
        </w:tc>
      </w:tr>
      <w:tr w:rsidR="00FA00EA" w:rsidRPr="00FA00EA" w:rsidTr="00FA00EA">
        <w:trPr>
          <w:trHeight w:val="1110"/>
        </w:trPr>
        <w:tc>
          <w:tcPr>
            <w:tcW w:w="460" w:type="dxa"/>
            <w:tcBorders>
              <w:top w:val="nil"/>
              <w:left w:val="single" w:sz="4" w:space="0" w:color="auto"/>
              <w:bottom w:val="single" w:sz="4" w:space="0" w:color="auto"/>
              <w:right w:val="single" w:sz="4" w:space="0" w:color="auto"/>
            </w:tcBorders>
            <w:shd w:val="clear" w:color="auto" w:fill="auto"/>
            <w:hideMark/>
          </w:tcPr>
          <w:p w:rsidR="00FA00EA" w:rsidRPr="00FA00EA" w:rsidRDefault="00FA00EA" w:rsidP="00FA00EA">
            <w:pPr>
              <w:suppressAutoHyphens w:val="0"/>
              <w:jc w:val="right"/>
              <w:rPr>
                <w:sz w:val="20"/>
                <w:szCs w:val="20"/>
                <w:lang w:eastAsia="ru-RU"/>
              </w:rPr>
            </w:pPr>
            <w:r w:rsidRPr="00FA00EA">
              <w:rPr>
                <w:sz w:val="20"/>
                <w:szCs w:val="20"/>
                <w:lang w:eastAsia="ru-RU"/>
              </w:rPr>
              <w:t>29</w:t>
            </w:r>
          </w:p>
        </w:tc>
        <w:tc>
          <w:tcPr>
            <w:tcW w:w="1823" w:type="dxa"/>
            <w:tcBorders>
              <w:top w:val="nil"/>
              <w:left w:val="nil"/>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Масло иммерсионное (100 мл)   Тип-А</w:t>
            </w:r>
          </w:p>
        </w:tc>
        <w:tc>
          <w:tcPr>
            <w:tcW w:w="5645" w:type="dxa"/>
            <w:tcBorders>
              <w:top w:val="nil"/>
              <w:left w:val="single" w:sz="4" w:space="0" w:color="auto"/>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Масло иммерсионное  Тип-А (классическое), с кинематической вязкостью при 20 оС не менее 6 м2/с. Коэффициент пропускания, преломления и средняя дисперсия по ТУ 9398-042-11498242-2010 согласно ГОСТ 13739-78. Флакон 100 мл</w:t>
            </w:r>
          </w:p>
        </w:tc>
        <w:tc>
          <w:tcPr>
            <w:tcW w:w="720" w:type="dxa"/>
            <w:tcBorders>
              <w:top w:val="nil"/>
              <w:left w:val="single" w:sz="4" w:space="0" w:color="auto"/>
              <w:bottom w:val="single" w:sz="4" w:space="0" w:color="auto"/>
              <w:right w:val="nil"/>
            </w:tcBorders>
            <w:shd w:val="clear" w:color="auto" w:fill="auto"/>
            <w:noWrap/>
            <w:hideMark/>
          </w:tcPr>
          <w:p w:rsidR="00FA00EA" w:rsidRPr="00FA00EA" w:rsidRDefault="00FA00EA" w:rsidP="00FA00EA">
            <w:pPr>
              <w:suppressAutoHyphens w:val="0"/>
              <w:jc w:val="right"/>
              <w:rPr>
                <w:sz w:val="20"/>
                <w:szCs w:val="20"/>
                <w:lang w:eastAsia="ru-RU"/>
              </w:rPr>
            </w:pPr>
            <w:r w:rsidRPr="00FA00EA">
              <w:rPr>
                <w:sz w:val="20"/>
                <w:szCs w:val="20"/>
                <w:lang w:eastAsia="ru-RU"/>
              </w:rPr>
              <w:t>5</w:t>
            </w:r>
          </w:p>
        </w:tc>
        <w:tc>
          <w:tcPr>
            <w:tcW w:w="599" w:type="dxa"/>
            <w:tcBorders>
              <w:top w:val="nil"/>
              <w:left w:val="single" w:sz="4" w:space="0" w:color="auto"/>
              <w:bottom w:val="single" w:sz="4" w:space="0" w:color="auto"/>
              <w:right w:val="single" w:sz="4" w:space="0" w:color="auto"/>
            </w:tcBorders>
            <w:shd w:val="clear" w:color="auto" w:fill="auto"/>
            <w:noWrap/>
            <w:hideMark/>
          </w:tcPr>
          <w:p w:rsidR="00FA00EA" w:rsidRPr="00FA00EA" w:rsidRDefault="00FA00EA" w:rsidP="00FA00EA">
            <w:pPr>
              <w:suppressAutoHyphens w:val="0"/>
              <w:jc w:val="center"/>
              <w:rPr>
                <w:sz w:val="22"/>
                <w:szCs w:val="22"/>
                <w:lang w:eastAsia="ru-RU"/>
              </w:rPr>
            </w:pPr>
            <w:r w:rsidRPr="00FA00EA">
              <w:rPr>
                <w:sz w:val="22"/>
                <w:szCs w:val="22"/>
                <w:lang w:eastAsia="ru-RU"/>
              </w:rPr>
              <w:t>шт.</w:t>
            </w:r>
          </w:p>
        </w:tc>
      </w:tr>
      <w:tr w:rsidR="00FA00EA" w:rsidRPr="00FA00EA" w:rsidTr="00FA00EA">
        <w:trPr>
          <w:trHeight w:val="900"/>
        </w:trPr>
        <w:tc>
          <w:tcPr>
            <w:tcW w:w="460" w:type="dxa"/>
            <w:tcBorders>
              <w:top w:val="nil"/>
              <w:left w:val="single" w:sz="4" w:space="0" w:color="auto"/>
              <w:bottom w:val="single" w:sz="4" w:space="0" w:color="auto"/>
              <w:right w:val="single" w:sz="4" w:space="0" w:color="auto"/>
            </w:tcBorders>
            <w:shd w:val="clear" w:color="auto" w:fill="auto"/>
            <w:hideMark/>
          </w:tcPr>
          <w:p w:rsidR="00FA00EA" w:rsidRPr="00FA00EA" w:rsidRDefault="00FA00EA" w:rsidP="00FA00EA">
            <w:pPr>
              <w:suppressAutoHyphens w:val="0"/>
              <w:jc w:val="right"/>
              <w:rPr>
                <w:sz w:val="20"/>
                <w:szCs w:val="20"/>
                <w:lang w:eastAsia="ru-RU"/>
              </w:rPr>
            </w:pPr>
            <w:r w:rsidRPr="00FA00EA">
              <w:rPr>
                <w:sz w:val="20"/>
                <w:szCs w:val="20"/>
                <w:lang w:eastAsia="ru-RU"/>
              </w:rPr>
              <w:t>30</w:t>
            </w:r>
          </w:p>
        </w:tc>
        <w:tc>
          <w:tcPr>
            <w:tcW w:w="1823" w:type="dxa"/>
            <w:tcBorders>
              <w:top w:val="nil"/>
              <w:left w:val="nil"/>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Пробирка  MiniCollect  с ЭДТА-К2, 0,25/0,5мл, д/гематол. 16х43мм (уп.100 шт),  кат.№ 450532</w:t>
            </w:r>
          </w:p>
        </w:tc>
        <w:tc>
          <w:tcPr>
            <w:tcW w:w="5645" w:type="dxa"/>
            <w:tcBorders>
              <w:top w:val="nil"/>
              <w:left w:val="single" w:sz="4" w:space="0" w:color="auto"/>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Пробирка  MiniCollect  с ЭДТА-К2, 0,25/0,5мл, д/гематол. 16х43мм (уп.100 шт),  кат.№ 450532</w:t>
            </w:r>
          </w:p>
        </w:tc>
        <w:tc>
          <w:tcPr>
            <w:tcW w:w="720" w:type="dxa"/>
            <w:tcBorders>
              <w:top w:val="nil"/>
              <w:left w:val="single" w:sz="4" w:space="0" w:color="auto"/>
              <w:bottom w:val="single" w:sz="4" w:space="0" w:color="auto"/>
              <w:right w:val="nil"/>
            </w:tcBorders>
            <w:shd w:val="clear" w:color="auto" w:fill="auto"/>
            <w:noWrap/>
            <w:hideMark/>
          </w:tcPr>
          <w:p w:rsidR="00FA00EA" w:rsidRPr="00FA00EA" w:rsidRDefault="00FA00EA" w:rsidP="00FA00EA">
            <w:pPr>
              <w:suppressAutoHyphens w:val="0"/>
              <w:jc w:val="right"/>
              <w:rPr>
                <w:sz w:val="20"/>
                <w:szCs w:val="20"/>
                <w:lang w:eastAsia="ru-RU"/>
              </w:rPr>
            </w:pPr>
            <w:r w:rsidRPr="00FA00EA">
              <w:rPr>
                <w:sz w:val="20"/>
                <w:szCs w:val="20"/>
                <w:lang w:eastAsia="ru-RU"/>
              </w:rPr>
              <w:t>70</w:t>
            </w:r>
          </w:p>
        </w:tc>
        <w:tc>
          <w:tcPr>
            <w:tcW w:w="599" w:type="dxa"/>
            <w:tcBorders>
              <w:top w:val="nil"/>
              <w:left w:val="single" w:sz="4" w:space="0" w:color="auto"/>
              <w:bottom w:val="single" w:sz="4" w:space="0" w:color="auto"/>
              <w:right w:val="single" w:sz="4" w:space="0" w:color="auto"/>
            </w:tcBorders>
            <w:shd w:val="clear" w:color="auto" w:fill="auto"/>
            <w:noWrap/>
            <w:hideMark/>
          </w:tcPr>
          <w:p w:rsidR="00FA00EA" w:rsidRPr="00FA00EA" w:rsidRDefault="00FA00EA" w:rsidP="00FA00EA">
            <w:pPr>
              <w:suppressAutoHyphens w:val="0"/>
              <w:jc w:val="center"/>
              <w:rPr>
                <w:sz w:val="22"/>
                <w:szCs w:val="22"/>
                <w:lang w:eastAsia="ru-RU"/>
              </w:rPr>
            </w:pPr>
            <w:r w:rsidRPr="00FA00EA">
              <w:rPr>
                <w:sz w:val="22"/>
                <w:szCs w:val="22"/>
                <w:lang w:eastAsia="ru-RU"/>
              </w:rPr>
              <w:t>уп.</w:t>
            </w:r>
          </w:p>
        </w:tc>
      </w:tr>
      <w:tr w:rsidR="00FA00EA" w:rsidRPr="00FA00EA" w:rsidTr="00FA00EA">
        <w:trPr>
          <w:trHeight w:val="1560"/>
        </w:trPr>
        <w:tc>
          <w:tcPr>
            <w:tcW w:w="460" w:type="dxa"/>
            <w:tcBorders>
              <w:top w:val="nil"/>
              <w:left w:val="single" w:sz="4" w:space="0" w:color="auto"/>
              <w:bottom w:val="single" w:sz="4" w:space="0" w:color="auto"/>
              <w:right w:val="single" w:sz="4" w:space="0" w:color="auto"/>
            </w:tcBorders>
            <w:shd w:val="clear" w:color="auto" w:fill="auto"/>
            <w:hideMark/>
          </w:tcPr>
          <w:p w:rsidR="00FA00EA" w:rsidRPr="00FA00EA" w:rsidRDefault="00FA00EA" w:rsidP="00FA00EA">
            <w:pPr>
              <w:suppressAutoHyphens w:val="0"/>
              <w:jc w:val="right"/>
              <w:rPr>
                <w:sz w:val="20"/>
                <w:szCs w:val="20"/>
                <w:lang w:eastAsia="ru-RU"/>
              </w:rPr>
            </w:pPr>
            <w:r w:rsidRPr="00FA00EA">
              <w:rPr>
                <w:sz w:val="20"/>
                <w:szCs w:val="20"/>
                <w:lang w:eastAsia="ru-RU"/>
              </w:rPr>
              <w:t>31</w:t>
            </w:r>
          </w:p>
        </w:tc>
        <w:tc>
          <w:tcPr>
            <w:tcW w:w="1823" w:type="dxa"/>
            <w:tcBorders>
              <w:top w:val="nil"/>
              <w:left w:val="nil"/>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Контейнер д/био матер., стер, (100 мл) с белой кр. с контр. вскрытия кат№КООНПП-100-ССБ кор.300 шт.</w:t>
            </w:r>
          </w:p>
        </w:tc>
        <w:tc>
          <w:tcPr>
            <w:tcW w:w="5645" w:type="dxa"/>
            <w:tcBorders>
              <w:top w:val="nil"/>
              <w:left w:val="single" w:sz="4" w:space="0" w:color="auto"/>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Контейнер для сбора биоматериалов, с градуировкой и полем для записи. ПП, крышка из ПЭНД (полиэтилен низкого давления). Имеется специальная резьба (повышенная герметичность) и контроль вскрытия (лента). Конический, полезный объем 100 мл, высота 73 мм, диаметр по крышке- 63 мм.</w:t>
            </w:r>
          </w:p>
        </w:tc>
        <w:tc>
          <w:tcPr>
            <w:tcW w:w="720" w:type="dxa"/>
            <w:tcBorders>
              <w:top w:val="nil"/>
              <w:left w:val="single" w:sz="4" w:space="0" w:color="auto"/>
              <w:bottom w:val="single" w:sz="4" w:space="0" w:color="auto"/>
              <w:right w:val="nil"/>
            </w:tcBorders>
            <w:shd w:val="clear" w:color="auto" w:fill="auto"/>
            <w:noWrap/>
            <w:hideMark/>
          </w:tcPr>
          <w:p w:rsidR="00FA00EA" w:rsidRPr="00FA00EA" w:rsidRDefault="00FA00EA" w:rsidP="00FA00EA">
            <w:pPr>
              <w:suppressAutoHyphens w:val="0"/>
              <w:jc w:val="right"/>
              <w:rPr>
                <w:sz w:val="20"/>
                <w:szCs w:val="20"/>
                <w:lang w:eastAsia="ru-RU"/>
              </w:rPr>
            </w:pPr>
            <w:r w:rsidRPr="00FA00EA">
              <w:rPr>
                <w:sz w:val="20"/>
                <w:szCs w:val="20"/>
                <w:lang w:eastAsia="ru-RU"/>
              </w:rPr>
              <w:t>6000</w:t>
            </w:r>
          </w:p>
        </w:tc>
        <w:tc>
          <w:tcPr>
            <w:tcW w:w="599" w:type="dxa"/>
            <w:tcBorders>
              <w:top w:val="nil"/>
              <w:left w:val="single" w:sz="4" w:space="0" w:color="auto"/>
              <w:bottom w:val="single" w:sz="4" w:space="0" w:color="auto"/>
              <w:right w:val="single" w:sz="4" w:space="0" w:color="auto"/>
            </w:tcBorders>
            <w:shd w:val="clear" w:color="auto" w:fill="auto"/>
            <w:noWrap/>
            <w:hideMark/>
          </w:tcPr>
          <w:p w:rsidR="00FA00EA" w:rsidRPr="00FA00EA" w:rsidRDefault="00FA00EA" w:rsidP="00FA00EA">
            <w:pPr>
              <w:suppressAutoHyphens w:val="0"/>
              <w:jc w:val="center"/>
              <w:rPr>
                <w:sz w:val="22"/>
                <w:szCs w:val="22"/>
                <w:lang w:eastAsia="ru-RU"/>
              </w:rPr>
            </w:pPr>
            <w:r w:rsidRPr="00FA00EA">
              <w:rPr>
                <w:sz w:val="22"/>
                <w:szCs w:val="22"/>
                <w:lang w:eastAsia="ru-RU"/>
              </w:rPr>
              <w:t>шт.</w:t>
            </w:r>
          </w:p>
        </w:tc>
      </w:tr>
      <w:tr w:rsidR="00FA00EA" w:rsidRPr="00FA00EA" w:rsidTr="00FA00EA">
        <w:trPr>
          <w:trHeight w:val="2505"/>
        </w:trPr>
        <w:tc>
          <w:tcPr>
            <w:tcW w:w="460" w:type="dxa"/>
            <w:tcBorders>
              <w:top w:val="nil"/>
              <w:left w:val="single" w:sz="4" w:space="0" w:color="auto"/>
              <w:bottom w:val="single" w:sz="4" w:space="0" w:color="auto"/>
              <w:right w:val="single" w:sz="4" w:space="0" w:color="auto"/>
            </w:tcBorders>
            <w:shd w:val="clear" w:color="auto" w:fill="auto"/>
            <w:hideMark/>
          </w:tcPr>
          <w:p w:rsidR="00FA00EA" w:rsidRPr="00FA00EA" w:rsidRDefault="00FA00EA" w:rsidP="00FA00EA">
            <w:pPr>
              <w:suppressAutoHyphens w:val="0"/>
              <w:jc w:val="right"/>
              <w:rPr>
                <w:sz w:val="20"/>
                <w:szCs w:val="20"/>
                <w:lang w:eastAsia="ru-RU"/>
              </w:rPr>
            </w:pPr>
            <w:r w:rsidRPr="00FA00EA">
              <w:rPr>
                <w:sz w:val="20"/>
                <w:szCs w:val="20"/>
                <w:lang w:eastAsia="ru-RU"/>
              </w:rPr>
              <w:lastRenderedPageBreak/>
              <w:t>32</w:t>
            </w:r>
          </w:p>
        </w:tc>
        <w:tc>
          <w:tcPr>
            <w:tcW w:w="1823" w:type="dxa"/>
            <w:tcBorders>
              <w:top w:val="nil"/>
              <w:left w:val="nil"/>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Контрольная моча д/тест-полосок КМ-контроль-ТП ( 2 фл.х5,0 )"Медлакор".№ 04.01.08</w:t>
            </w:r>
          </w:p>
        </w:tc>
        <w:tc>
          <w:tcPr>
            <w:tcW w:w="5645" w:type="dxa"/>
            <w:tcBorders>
              <w:top w:val="nil"/>
              <w:left w:val="single" w:sz="4" w:space="0" w:color="auto"/>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 xml:space="preserve">Материал, используемый для подтверждения качества анализа, предназначенный для качественного и/или полуколичественного скрининга множественных аналитов мочи (urine for multiple analytes). Контролируемые показатели: белок, глюкоза, нитриты, рН, кетоны, кровь/эритроциты, удельная плотность. В состав входят две капельницы. Два уровня концентрации. Готов к использованию. Стабильность вскрытого материала - 14 дней при  темп. 20 оС. Упаковка - 2 фл х 5,0 мл. </w:t>
            </w:r>
            <w:r w:rsidRPr="00FA00EA">
              <w:rPr>
                <w:sz w:val="20"/>
                <w:szCs w:val="20"/>
                <w:lang w:eastAsia="ru-RU"/>
              </w:rPr>
              <w:br/>
              <w:t xml:space="preserve"> Готов к использованию. Срок годн. 6 мес., t хр. 2-8 С. Стабильность вскрытого материала- 14 дней при  температуре 2-8 град С.</w:t>
            </w:r>
          </w:p>
        </w:tc>
        <w:tc>
          <w:tcPr>
            <w:tcW w:w="720" w:type="dxa"/>
            <w:tcBorders>
              <w:top w:val="nil"/>
              <w:left w:val="single" w:sz="4" w:space="0" w:color="auto"/>
              <w:bottom w:val="single" w:sz="4" w:space="0" w:color="auto"/>
              <w:right w:val="nil"/>
            </w:tcBorders>
            <w:shd w:val="clear" w:color="auto" w:fill="auto"/>
            <w:noWrap/>
            <w:hideMark/>
          </w:tcPr>
          <w:p w:rsidR="00FA00EA" w:rsidRPr="00FA00EA" w:rsidRDefault="00FA00EA" w:rsidP="00FA00EA">
            <w:pPr>
              <w:suppressAutoHyphens w:val="0"/>
              <w:jc w:val="right"/>
              <w:rPr>
                <w:sz w:val="20"/>
                <w:szCs w:val="20"/>
                <w:lang w:eastAsia="ru-RU"/>
              </w:rPr>
            </w:pPr>
            <w:r w:rsidRPr="00FA00EA">
              <w:rPr>
                <w:sz w:val="20"/>
                <w:szCs w:val="20"/>
                <w:lang w:eastAsia="ru-RU"/>
              </w:rPr>
              <w:t>1</w:t>
            </w:r>
          </w:p>
        </w:tc>
        <w:tc>
          <w:tcPr>
            <w:tcW w:w="599" w:type="dxa"/>
            <w:tcBorders>
              <w:top w:val="nil"/>
              <w:left w:val="single" w:sz="4" w:space="0" w:color="auto"/>
              <w:bottom w:val="single" w:sz="4" w:space="0" w:color="auto"/>
              <w:right w:val="single" w:sz="4" w:space="0" w:color="auto"/>
            </w:tcBorders>
            <w:shd w:val="clear" w:color="auto" w:fill="auto"/>
            <w:noWrap/>
            <w:hideMark/>
          </w:tcPr>
          <w:p w:rsidR="00FA00EA" w:rsidRPr="00FA00EA" w:rsidRDefault="00FA00EA" w:rsidP="00FA00EA">
            <w:pPr>
              <w:suppressAutoHyphens w:val="0"/>
              <w:jc w:val="center"/>
              <w:rPr>
                <w:sz w:val="22"/>
                <w:szCs w:val="22"/>
                <w:lang w:eastAsia="ru-RU"/>
              </w:rPr>
            </w:pPr>
            <w:r w:rsidRPr="00FA00EA">
              <w:rPr>
                <w:sz w:val="22"/>
                <w:szCs w:val="22"/>
                <w:lang w:eastAsia="ru-RU"/>
              </w:rPr>
              <w:t>уп.</w:t>
            </w:r>
          </w:p>
        </w:tc>
      </w:tr>
      <w:tr w:rsidR="00FA00EA" w:rsidRPr="00FA00EA" w:rsidTr="00FA00EA">
        <w:trPr>
          <w:trHeight w:val="4860"/>
        </w:trPr>
        <w:tc>
          <w:tcPr>
            <w:tcW w:w="460" w:type="dxa"/>
            <w:tcBorders>
              <w:top w:val="nil"/>
              <w:left w:val="single" w:sz="4" w:space="0" w:color="auto"/>
              <w:bottom w:val="single" w:sz="4" w:space="0" w:color="auto"/>
              <w:right w:val="single" w:sz="4" w:space="0" w:color="auto"/>
            </w:tcBorders>
            <w:shd w:val="clear" w:color="auto" w:fill="auto"/>
            <w:hideMark/>
          </w:tcPr>
          <w:p w:rsidR="00FA00EA" w:rsidRPr="00FA00EA" w:rsidRDefault="00FA00EA" w:rsidP="00FA00EA">
            <w:pPr>
              <w:suppressAutoHyphens w:val="0"/>
              <w:jc w:val="right"/>
              <w:rPr>
                <w:sz w:val="20"/>
                <w:szCs w:val="20"/>
                <w:lang w:eastAsia="ru-RU"/>
              </w:rPr>
            </w:pPr>
            <w:r w:rsidRPr="00FA00EA">
              <w:rPr>
                <w:sz w:val="20"/>
                <w:szCs w:val="20"/>
                <w:lang w:eastAsia="ru-RU"/>
              </w:rPr>
              <w:t>33</w:t>
            </w:r>
          </w:p>
        </w:tc>
        <w:tc>
          <w:tcPr>
            <w:tcW w:w="1823" w:type="dxa"/>
            <w:tcBorders>
              <w:top w:val="nil"/>
              <w:left w:val="nil"/>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Гематологический контроль 14 - 8 (14 параметров) (4х2,5 мл) "Медлакор" №02.01.06 **</w:t>
            </w:r>
          </w:p>
        </w:tc>
        <w:tc>
          <w:tcPr>
            <w:tcW w:w="5645" w:type="dxa"/>
            <w:tcBorders>
              <w:top w:val="nil"/>
              <w:left w:val="single" w:sz="4" w:space="0" w:color="auto"/>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 xml:space="preserve"> Набор  предназначен для контроля правильности и воспроизводимости результатов определяемых параметров на многопараметровых кондуктометрических анализаторах: концентрация эритроцитов (RBC); концентрация гемоглобина (HGB); гематокрит (HCT); средний объем эритроцитов (MCV); среднее содержание гемоглобина в эритроците (MCH); средняя концентрация гемоглобина в эритроците (MCHC);концентрация тромбоцитов (PLT); концентрация лейкоцитов (WBC) с дифференциацией лейкоцитов по трем популяциям:</w:t>
            </w:r>
            <w:r w:rsidRPr="00FA00EA">
              <w:rPr>
                <w:sz w:val="20"/>
                <w:szCs w:val="20"/>
                <w:lang w:eastAsia="ru-RU"/>
              </w:rPr>
              <w:br/>
              <w:t xml:space="preserve">      - концентрация и процентное соотношение лимфоцитов (LYC);</w:t>
            </w:r>
            <w:r w:rsidRPr="00FA00EA">
              <w:rPr>
                <w:sz w:val="20"/>
                <w:szCs w:val="20"/>
                <w:lang w:eastAsia="ru-RU"/>
              </w:rPr>
              <w:br/>
              <w:t xml:space="preserve">      - концентрация и процентное соотношение моноцитов  (MON);</w:t>
            </w:r>
            <w:r w:rsidRPr="00FA00EA">
              <w:rPr>
                <w:sz w:val="20"/>
                <w:szCs w:val="20"/>
                <w:lang w:eastAsia="ru-RU"/>
              </w:rPr>
              <w:br/>
              <w:t xml:space="preserve">     - концентрация и процентное соотношение  гранулоцитов (GRA)</w:t>
            </w:r>
            <w:r w:rsidRPr="00FA00EA">
              <w:rPr>
                <w:sz w:val="20"/>
                <w:szCs w:val="20"/>
                <w:lang w:eastAsia="ru-RU"/>
              </w:rPr>
              <w:br/>
              <w:t>СОСТАВ НАБОРА</w:t>
            </w:r>
            <w:r w:rsidRPr="00FA00EA">
              <w:rPr>
                <w:sz w:val="20"/>
                <w:szCs w:val="20"/>
                <w:lang w:eastAsia="ru-RU"/>
              </w:rPr>
              <w:br/>
              <w:t xml:space="preserve">        Набор  содержит 4 флакона контрольного материала:</w:t>
            </w:r>
            <w:r w:rsidRPr="00FA00EA">
              <w:rPr>
                <w:sz w:val="20"/>
                <w:szCs w:val="20"/>
                <w:lang w:eastAsia="ru-RU"/>
              </w:rPr>
              <w:br/>
              <w:t xml:space="preserve">        -  2 флакона уровень 1 (норма)  по 2,5 мл                    -  2 флакона уровень 2 (низкая патология)  по 2,5 мл</w:t>
            </w:r>
            <w:r w:rsidRPr="00FA00EA">
              <w:rPr>
                <w:sz w:val="20"/>
                <w:szCs w:val="20"/>
                <w:lang w:eastAsia="ru-RU"/>
              </w:rPr>
              <w:br/>
              <w:t xml:space="preserve">          Срок годности - 105 дней.</w:t>
            </w:r>
            <w:r w:rsidRPr="00FA00EA">
              <w:rPr>
                <w:sz w:val="20"/>
                <w:szCs w:val="20"/>
                <w:lang w:eastAsia="ru-RU"/>
              </w:rPr>
              <w:br/>
              <w:t xml:space="preserve">          В распечатанных и закрытых пробкой флаконах контрольный материал может храниться при температуре от +2 до +8 0С не более 14 дней.</w:t>
            </w:r>
          </w:p>
        </w:tc>
        <w:tc>
          <w:tcPr>
            <w:tcW w:w="720" w:type="dxa"/>
            <w:tcBorders>
              <w:top w:val="nil"/>
              <w:left w:val="single" w:sz="4" w:space="0" w:color="auto"/>
              <w:bottom w:val="single" w:sz="4" w:space="0" w:color="auto"/>
              <w:right w:val="nil"/>
            </w:tcBorders>
            <w:shd w:val="clear" w:color="auto" w:fill="auto"/>
            <w:noWrap/>
            <w:hideMark/>
          </w:tcPr>
          <w:p w:rsidR="00FA00EA" w:rsidRPr="00FA00EA" w:rsidRDefault="00FA00EA" w:rsidP="00FA00EA">
            <w:pPr>
              <w:suppressAutoHyphens w:val="0"/>
              <w:jc w:val="right"/>
              <w:rPr>
                <w:sz w:val="20"/>
                <w:szCs w:val="20"/>
                <w:lang w:eastAsia="ru-RU"/>
              </w:rPr>
            </w:pPr>
            <w:r w:rsidRPr="00FA00EA">
              <w:rPr>
                <w:sz w:val="20"/>
                <w:szCs w:val="20"/>
                <w:lang w:eastAsia="ru-RU"/>
              </w:rPr>
              <w:t>1</w:t>
            </w:r>
          </w:p>
        </w:tc>
        <w:tc>
          <w:tcPr>
            <w:tcW w:w="599" w:type="dxa"/>
            <w:tcBorders>
              <w:top w:val="nil"/>
              <w:left w:val="single" w:sz="4" w:space="0" w:color="auto"/>
              <w:bottom w:val="single" w:sz="4" w:space="0" w:color="auto"/>
              <w:right w:val="single" w:sz="4" w:space="0" w:color="auto"/>
            </w:tcBorders>
            <w:shd w:val="clear" w:color="auto" w:fill="auto"/>
            <w:noWrap/>
            <w:hideMark/>
          </w:tcPr>
          <w:p w:rsidR="00FA00EA" w:rsidRPr="00FA00EA" w:rsidRDefault="00FA00EA" w:rsidP="00FA00EA">
            <w:pPr>
              <w:suppressAutoHyphens w:val="0"/>
              <w:jc w:val="center"/>
              <w:rPr>
                <w:sz w:val="22"/>
                <w:szCs w:val="22"/>
                <w:lang w:eastAsia="ru-RU"/>
              </w:rPr>
            </w:pPr>
            <w:r w:rsidRPr="00FA00EA">
              <w:rPr>
                <w:sz w:val="22"/>
                <w:szCs w:val="22"/>
                <w:lang w:eastAsia="ru-RU"/>
              </w:rPr>
              <w:t>уп.</w:t>
            </w:r>
          </w:p>
        </w:tc>
      </w:tr>
      <w:tr w:rsidR="00FA00EA" w:rsidRPr="00FA00EA" w:rsidTr="00FA00EA">
        <w:trPr>
          <w:trHeight w:val="990"/>
        </w:trPr>
        <w:tc>
          <w:tcPr>
            <w:tcW w:w="460" w:type="dxa"/>
            <w:tcBorders>
              <w:top w:val="nil"/>
              <w:left w:val="single" w:sz="4" w:space="0" w:color="auto"/>
              <w:bottom w:val="single" w:sz="4" w:space="0" w:color="auto"/>
              <w:right w:val="single" w:sz="4" w:space="0" w:color="auto"/>
            </w:tcBorders>
            <w:shd w:val="clear" w:color="auto" w:fill="auto"/>
            <w:hideMark/>
          </w:tcPr>
          <w:p w:rsidR="00FA00EA" w:rsidRPr="00FA00EA" w:rsidRDefault="00FA00EA" w:rsidP="00FA00EA">
            <w:pPr>
              <w:suppressAutoHyphens w:val="0"/>
              <w:jc w:val="right"/>
              <w:rPr>
                <w:sz w:val="20"/>
                <w:szCs w:val="20"/>
                <w:lang w:eastAsia="ru-RU"/>
              </w:rPr>
            </w:pPr>
            <w:r w:rsidRPr="00FA00EA">
              <w:rPr>
                <w:sz w:val="20"/>
                <w:szCs w:val="20"/>
                <w:lang w:eastAsia="ru-RU"/>
              </w:rPr>
              <w:t>34</w:t>
            </w:r>
          </w:p>
        </w:tc>
        <w:tc>
          <w:tcPr>
            <w:tcW w:w="1823" w:type="dxa"/>
            <w:tcBorders>
              <w:top w:val="nil"/>
              <w:left w:val="nil"/>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Стекло предметное (25х75х2) СО-3  шлиф кр кат№ 12003403</w:t>
            </w:r>
          </w:p>
        </w:tc>
        <w:tc>
          <w:tcPr>
            <w:tcW w:w="5645" w:type="dxa"/>
            <w:tcBorders>
              <w:top w:val="nil"/>
              <w:left w:val="single" w:sz="4" w:space="0" w:color="auto"/>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Стекла предметные СО-3 соответствуют ГОСТ 9884-75. Края шлифованные. Толщина стекла- 2,0 +/-0,1 мм. Габаритные размеры: (75+/-1,0) х (25+/-1,0) мм. Изготовлено из стекла марки М4.Упаковка - 50 шт.</w:t>
            </w:r>
          </w:p>
        </w:tc>
        <w:tc>
          <w:tcPr>
            <w:tcW w:w="720" w:type="dxa"/>
            <w:tcBorders>
              <w:top w:val="nil"/>
              <w:left w:val="single" w:sz="4" w:space="0" w:color="auto"/>
              <w:bottom w:val="single" w:sz="4" w:space="0" w:color="auto"/>
              <w:right w:val="nil"/>
            </w:tcBorders>
            <w:shd w:val="clear" w:color="auto" w:fill="auto"/>
            <w:noWrap/>
            <w:hideMark/>
          </w:tcPr>
          <w:p w:rsidR="00FA00EA" w:rsidRPr="00FA00EA" w:rsidRDefault="00FA00EA" w:rsidP="00FA00EA">
            <w:pPr>
              <w:suppressAutoHyphens w:val="0"/>
              <w:jc w:val="right"/>
              <w:rPr>
                <w:sz w:val="20"/>
                <w:szCs w:val="20"/>
                <w:lang w:eastAsia="ru-RU"/>
              </w:rPr>
            </w:pPr>
            <w:r w:rsidRPr="00FA00EA">
              <w:rPr>
                <w:sz w:val="20"/>
                <w:szCs w:val="20"/>
                <w:lang w:eastAsia="ru-RU"/>
              </w:rPr>
              <w:t>1000</w:t>
            </w:r>
          </w:p>
        </w:tc>
        <w:tc>
          <w:tcPr>
            <w:tcW w:w="599" w:type="dxa"/>
            <w:tcBorders>
              <w:top w:val="nil"/>
              <w:left w:val="single" w:sz="4" w:space="0" w:color="auto"/>
              <w:bottom w:val="single" w:sz="4" w:space="0" w:color="auto"/>
              <w:right w:val="single" w:sz="4" w:space="0" w:color="auto"/>
            </w:tcBorders>
            <w:shd w:val="clear" w:color="auto" w:fill="auto"/>
            <w:noWrap/>
            <w:hideMark/>
          </w:tcPr>
          <w:p w:rsidR="00FA00EA" w:rsidRPr="00FA00EA" w:rsidRDefault="00FA00EA" w:rsidP="00FA00EA">
            <w:pPr>
              <w:suppressAutoHyphens w:val="0"/>
              <w:jc w:val="center"/>
              <w:rPr>
                <w:sz w:val="22"/>
                <w:szCs w:val="22"/>
                <w:lang w:eastAsia="ru-RU"/>
              </w:rPr>
            </w:pPr>
            <w:r w:rsidRPr="00FA00EA">
              <w:rPr>
                <w:sz w:val="22"/>
                <w:szCs w:val="22"/>
                <w:lang w:eastAsia="ru-RU"/>
              </w:rPr>
              <w:t>шт.</w:t>
            </w:r>
          </w:p>
        </w:tc>
      </w:tr>
      <w:tr w:rsidR="00FA00EA" w:rsidRPr="00FA00EA" w:rsidTr="00FA00EA">
        <w:trPr>
          <w:trHeight w:val="1635"/>
        </w:trPr>
        <w:tc>
          <w:tcPr>
            <w:tcW w:w="460" w:type="dxa"/>
            <w:tcBorders>
              <w:top w:val="nil"/>
              <w:left w:val="single" w:sz="4" w:space="0" w:color="auto"/>
              <w:bottom w:val="single" w:sz="4" w:space="0" w:color="auto"/>
              <w:right w:val="single" w:sz="4" w:space="0" w:color="auto"/>
            </w:tcBorders>
            <w:shd w:val="clear" w:color="auto" w:fill="auto"/>
            <w:hideMark/>
          </w:tcPr>
          <w:p w:rsidR="00FA00EA" w:rsidRPr="00FA00EA" w:rsidRDefault="00FA00EA" w:rsidP="00FA00EA">
            <w:pPr>
              <w:suppressAutoHyphens w:val="0"/>
              <w:jc w:val="right"/>
              <w:rPr>
                <w:sz w:val="20"/>
                <w:szCs w:val="20"/>
                <w:lang w:eastAsia="ru-RU"/>
              </w:rPr>
            </w:pPr>
            <w:r w:rsidRPr="00FA00EA">
              <w:rPr>
                <w:sz w:val="20"/>
                <w:szCs w:val="20"/>
                <w:lang w:eastAsia="ru-RU"/>
              </w:rPr>
              <w:t>35</w:t>
            </w:r>
          </w:p>
        </w:tc>
        <w:tc>
          <w:tcPr>
            <w:tcW w:w="1823" w:type="dxa"/>
            <w:tcBorders>
              <w:top w:val="nil"/>
              <w:left w:val="nil"/>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Капилляр Панченкова (пипетка к СОЭ-метру) Минимед кат.№ 10002001</w:t>
            </w:r>
          </w:p>
        </w:tc>
        <w:tc>
          <w:tcPr>
            <w:tcW w:w="5645" w:type="dxa"/>
            <w:tcBorders>
              <w:top w:val="nil"/>
              <w:left w:val="single" w:sz="4" w:space="0" w:color="auto"/>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Пипетки к СОЭ-метру ПС/СОЭ-01 предназначена для определения скорости оседания эритроцитов от 0 до 90 мм в СОЭ-метре. Шкала устойчива к любым воздействиям. Изготовлена из стекла  НС-1 по ГОСТ 19808-86.  Внешний диаметр- 4-6 мм, длина- 174,5 ±2,0 мм, цена деления шкалы-1 мм. Упаковка -100 шт.</w:t>
            </w:r>
          </w:p>
        </w:tc>
        <w:tc>
          <w:tcPr>
            <w:tcW w:w="720" w:type="dxa"/>
            <w:tcBorders>
              <w:top w:val="nil"/>
              <w:left w:val="single" w:sz="4" w:space="0" w:color="auto"/>
              <w:bottom w:val="single" w:sz="4" w:space="0" w:color="auto"/>
              <w:right w:val="nil"/>
            </w:tcBorders>
            <w:shd w:val="clear" w:color="auto" w:fill="auto"/>
            <w:noWrap/>
            <w:hideMark/>
          </w:tcPr>
          <w:p w:rsidR="00FA00EA" w:rsidRPr="00FA00EA" w:rsidRDefault="00FA00EA" w:rsidP="00FA00EA">
            <w:pPr>
              <w:suppressAutoHyphens w:val="0"/>
              <w:jc w:val="right"/>
              <w:rPr>
                <w:sz w:val="20"/>
                <w:szCs w:val="20"/>
                <w:lang w:eastAsia="ru-RU"/>
              </w:rPr>
            </w:pPr>
            <w:r w:rsidRPr="00FA00EA">
              <w:rPr>
                <w:sz w:val="20"/>
                <w:szCs w:val="20"/>
                <w:lang w:eastAsia="ru-RU"/>
              </w:rPr>
              <w:t>500</w:t>
            </w:r>
          </w:p>
        </w:tc>
        <w:tc>
          <w:tcPr>
            <w:tcW w:w="599" w:type="dxa"/>
            <w:tcBorders>
              <w:top w:val="nil"/>
              <w:left w:val="single" w:sz="4" w:space="0" w:color="auto"/>
              <w:bottom w:val="single" w:sz="4" w:space="0" w:color="auto"/>
              <w:right w:val="single" w:sz="4" w:space="0" w:color="auto"/>
            </w:tcBorders>
            <w:shd w:val="clear" w:color="auto" w:fill="auto"/>
            <w:noWrap/>
            <w:hideMark/>
          </w:tcPr>
          <w:p w:rsidR="00FA00EA" w:rsidRPr="00FA00EA" w:rsidRDefault="00FA00EA" w:rsidP="00FA00EA">
            <w:pPr>
              <w:suppressAutoHyphens w:val="0"/>
              <w:jc w:val="center"/>
              <w:rPr>
                <w:sz w:val="22"/>
                <w:szCs w:val="22"/>
                <w:lang w:eastAsia="ru-RU"/>
              </w:rPr>
            </w:pPr>
            <w:r w:rsidRPr="00FA00EA">
              <w:rPr>
                <w:sz w:val="22"/>
                <w:szCs w:val="22"/>
                <w:lang w:eastAsia="ru-RU"/>
              </w:rPr>
              <w:t>шт.</w:t>
            </w:r>
          </w:p>
        </w:tc>
      </w:tr>
      <w:tr w:rsidR="00FA00EA" w:rsidRPr="00FA00EA" w:rsidTr="00FA00EA">
        <w:trPr>
          <w:trHeight w:val="765"/>
        </w:trPr>
        <w:tc>
          <w:tcPr>
            <w:tcW w:w="460" w:type="dxa"/>
            <w:tcBorders>
              <w:top w:val="nil"/>
              <w:left w:val="single" w:sz="4" w:space="0" w:color="auto"/>
              <w:bottom w:val="single" w:sz="4" w:space="0" w:color="auto"/>
              <w:right w:val="single" w:sz="4" w:space="0" w:color="auto"/>
            </w:tcBorders>
            <w:shd w:val="clear" w:color="auto" w:fill="auto"/>
            <w:hideMark/>
          </w:tcPr>
          <w:p w:rsidR="00FA00EA" w:rsidRPr="00FA00EA" w:rsidRDefault="00FA00EA" w:rsidP="00FA00EA">
            <w:pPr>
              <w:suppressAutoHyphens w:val="0"/>
              <w:jc w:val="right"/>
              <w:rPr>
                <w:sz w:val="20"/>
                <w:szCs w:val="20"/>
                <w:lang w:eastAsia="ru-RU"/>
              </w:rPr>
            </w:pPr>
            <w:r w:rsidRPr="00FA00EA">
              <w:rPr>
                <w:sz w:val="20"/>
                <w:szCs w:val="20"/>
                <w:lang w:eastAsia="ru-RU"/>
              </w:rPr>
              <w:t>36</w:t>
            </w:r>
          </w:p>
        </w:tc>
        <w:tc>
          <w:tcPr>
            <w:tcW w:w="1823" w:type="dxa"/>
            <w:tcBorders>
              <w:top w:val="nil"/>
              <w:left w:val="nil"/>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Стекло предметное (26х76х1) СП-7102 для имп. диагн. аппар. без обр уп.72 шт, кат№ 12003417</w:t>
            </w:r>
          </w:p>
        </w:tc>
        <w:tc>
          <w:tcPr>
            <w:tcW w:w="5645" w:type="dxa"/>
            <w:tcBorders>
              <w:top w:val="nil"/>
              <w:left w:val="single" w:sz="4" w:space="0" w:color="auto"/>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Предметные стекла разработаны для рутинных микроскопических процедур. Изготовлены из стекла марки М4. Габаритные размеры: (26+/-1,0)х(76+/-1,0) мм. толщина 1+/-0,1 мм. Края необработанные</w:t>
            </w:r>
          </w:p>
        </w:tc>
        <w:tc>
          <w:tcPr>
            <w:tcW w:w="720" w:type="dxa"/>
            <w:tcBorders>
              <w:top w:val="nil"/>
              <w:left w:val="single" w:sz="4" w:space="0" w:color="auto"/>
              <w:bottom w:val="single" w:sz="4" w:space="0" w:color="auto"/>
              <w:right w:val="nil"/>
            </w:tcBorders>
            <w:shd w:val="clear" w:color="auto" w:fill="auto"/>
            <w:noWrap/>
            <w:hideMark/>
          </w:tcPr>
          <w:p w:rsidR="00FA00EA" w:rsidRPr="00FA00EA" w:rsidRDefault="00FA00EA" w:rsidP="00FA00EA">
            <w:pPr>
              <w:suppressAutoHyphens w:val="0"/>
              <w:jc w:val="right"/>
              <w:rPr>
                <w:sz w:val="20"/>
                <w:szCs w:val="20"/>
                <w:lang w:eastAsia="ru-RU"/>
              </w:rPr>
            </w:pPr>
            <w:r w:rsidRPr="00FA00EA">
              <w:rPr>
                <w:sz w:val="20"/>
                <w:szCs w:val="20"/>
                <w:lang w:eastAsia="ru-RU"/>
              </w:rPr>
              <w:t>1000</w:t>
            </w:r>
          </w:p>
        </w:tc>
        <w:tc>
          <w:tcPr>
            <w:tcW w:w="599" w:type="dxa"/>
            <w:tcBorders>
              <w:top w:val="nil"/>
              <w:left w:val="single" w:sz="4" w:space="0" w:color="auto"/>
              <w:bottom w:val="single" w:sz="4" w:space="0" w:color="auto"/>
              <w:right w:val="single" w:sz="4" w:space="0" w:color="auto"/>
            </w:tcBorders>
            <w:shd w:val="clear" w:color="auto" w:fill="auto"/>
            <w:noWrap/>
            <w:hideMark/>
          </w:tcPr>
          <w:p w:rsidR="00FA00EA" w:rsidRPr="00FA00EA" w:rsidRDefault="00FA00EA" w:rsidP="00FA00EA">
            <w:pPr>
              <w:suppressAutoHyphens w:val="0"/>
              <w:jc w:val="center"/>
              <w:rPr>
                <w:sz w:val="22"/>
                <w:szCs w:val="22"/>
                <w:lang w:eastAsia="ru-RU"/>
              </w:rPr>
            </w:pPr>
            <w:r w:rsidRPr="00FA00EA">
              <w:rPr>
                <w:sz w:val="22"/>
                <w:szCs w:val="22"/>
                <w:lang w:eastAsia="ru-RU"/>
              </w:rPr>
              <w:t>шт.</w:t>
            </w:r>
          </w:p>
        </w:tc>
      </w:tr>
      <w:tr w:rsidR="00FA00EA" w:rsidRPr="00FA00EA" w:rsidTr="00FA00EA">
        <w:trPr>
          <w:trHeight w:val="645"/>
        </w:trPr>
        <w:tc>
          <w:tcPr>
            <w:tcW w:w="460" w:type="dxa"/>
            <w:tcBorders>
              <w:top w:val="nil"/>
              <w:left w:val="single" w:sz="4" w:space="0" w:color="auto"/>
              <w:bottom w:val="single" w:sz="4" w:space="0" w:color="auto"/>
              <w:right w:val="single" w:sz="4" w:space="0" w:color="auto"/>
            </w:tcBorders>
            <w:shd w:val="clear" w:color="auto" w:fill="auto"/>
            <w:hideMark/>
          </w:tcPr>
          <w:p w:rsidR="00FA00EA" w:rsidRPr="00FA00EA" w:rsidRDefault="00FA00EA" w:rsidP="00FA00EA">
            <w:pPr>
              <w:suppressAutoHyphens w:val="0"/>
              <w:jc w:val="right"/>
              <w:rPr>
                <w:sz w:val="20"/>
                <w:szCs w:val="20"/>
                <w:lang w:eastAsia="ru-RU"/>
              </w:rPr>
            </w:pPr>
            <w:r w:rsidRPr="00FA00EA">
              <w:rPr>
                <w:sz w:val="20"/>
                <w:szCs w:val="20"/>
                <w:lang w:eastAsia="ru-RU"/>
              </w:rPr>
              <w:t>37</w:t>
            </w:r>
          </w:p>
        </w:tc>
        <w:tc>
          <w:tcPr>
            <w:tcW w:w="1823" w:type="dxa"/>
            <w:tcBorders>
              <w:top w:val="nil"/>
              <w:left w:val="nil"/>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 xml:space="preserve">Пробирка цилиндрическая ПС 12Х75 кат. № 18056 </w:t>
            </w:r>
          </w:p>
        </w:tc>
        <w:tc>
          <w:tcPr>
            <w:tcW w:w="5645" w:type="dxa"/>
            <w:tcBorders>
              <w:top w:val="nil"/>
              <w:left w:val="single" w:sz="4" w:space="0" w:color="auto"/>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Пробирка цилиндрическая ПС 12Х75 кат. № 18056</w:t>
            </w:r>
          </w:p>
        </w:tc>
        <w:tc>
          <w:tcPr>
            <w:tcW w:w="720" w:type="dxa"/>
            <w:tcBorders>
              <w:top w:val="nil"/>
              <w:left w:val="single" w:sz="4" w:space="0" w:color="auto"/>
              <w:bottom w:val="single" w:sz="4" w:space="0" w:color="auto"/>
              <w:right w:val="nil"/>
            </w:tcBorders>
            <w:shd w:val="clear" w:color="auto" w:fill="auto"/>
            <w:noWrap/>
            <w:hideMark/>
          </w:tcPr>
          <w:p w:rsidR="00FA00EA" w:rsidRPr="00FA00EA" w:rsidRDefault="00FA00EA" w:rsidP="00FA00EA">
            <w:pPr>
              <w:suppressAutoHyphens w:val="0"/>
              <w:jc w:val="right"/>
              <w:rPr>
                <w:sz w:val="20"/>
                <w:szCs w:val="20"/>
                <w:lang w:eastAsia="ru-RU"/>
              </w:rPr>
            </w:pPr>
            <w:r w:rsidRPr="00FA00EA">
              <w:rPr>
                <w:sz w:val="20"/>
                <w:szCs w:val="20"/>
                <w:lang w:eastAsia="ru-RU"/>
              </w:rPr>
              <w:t>1000</w:t>
            </w:r>
          </w:p>
        </w:tc>
        <w:tc>
          <w:tcPr>
            <w:tcW w:w="599" w:type="dxa"/>
            <w:tcBorders>
              <w:top w:val="nil"/>
              <w:left w:val="single" w:sz="4" w:space="0" w:color="auto"/>
              <w:bottom w:val="single" w:sz="4" w:space="0" w:color="auto"/>
              <w:right w:val="single" w:sz="4" w:space="0" w:color="auto"/>
            </w:tcBorders>
            <w:shd w:val="clear" w:color="auto" w:fill="auto"/>
            <w:noWrap/>
            <w:hideMark/>
          </w:tcPr>
          <w:p w:rsidR="00FA00EA" w:rsidRPr="00FA00EA" w:rsidRDefault="00FA00EA" w:rsidP="00FA00EA">
            <w:pPr>
              <w:suppressAutoHyphens w:val="0"/>
              <w:jc w:val="center"/>
              <w:rPr>
                <w:sz w:val="22"/>
                <w:szCs w:val="22"/>
                <w:lang w:eastAsia="ru-RU"/>
              </w:rPr>
            </w:pPr>
            <w:r w:rsidRPr="00FA00EA">
              <w:rPr>
                <w:sz w:val="22"/>
                <w:szCs w:val="22"/>
                <w:lang w:eastAsia="ru-RU"/>
              </w:rPr>
              <w:t>шт.</w:t>
            </w:r>
          </w:p>
        </w:tc>
      </w:tr>
      <w:tr w:rsidR="00FA00EA" w:rsidRPr="00FA00EA" w:rsidTr="00FA00EA">
        <w:trPr>
          <w:trHeight w:val="390"/>
        </w:trPr>
        <w:tc>
          <w:tcPr>
            <w:tcW w:w="460" w:type="dxa"/>
            <w:tcBorders>
              <w:top w:val="nil"/>
              <w:left w:val="single" w:sz="4" w:space="0" w:color="auto"/>
              <w:bottom w:val="single" w:sz="4" w:space="0" w:color="auto"/>
              <w:right w:val="single" w:sz="4" w:space="0" w:color="auto"/>
            </w:tcBorders>
            <w:shd w:val="clear" w:color="auto" w:fill="auto"/>
            <w:hideMark/>
          </w:tcPr>
          <w:p w:rsidR="00FA00EA" w:rsidRPr="00FA00EA" w:rsidRDefault="00FA00EA" w:rsidP="00FA00EA">
            <w:pPr>
              <w:suppressAutoHyphens w:val="0"/>
              <w:jc w:val="right"/>
              <w:rPr>
                <w:sz w:val="20"/>
                <w:szCs w:val="20"/>
                <w:lang w:eastAsia="ru-RU"/>
              </w:rPr>
            </w:pPr>
            <w:r w:rsidRPr="00FA00EA">
              <w:rPr>
                <w:sz w:val="20"/>
                <w:szCs w:val="20"/>
                <w:lang w:eastAsia="ru-RU"/>
              </w:rPr>
              <w:t>38</w:t>
            </w:r>
          </w:p>
        </w:tc>
        <w:tc>
          <w:tcPr>
            <w:tcW w:w="1823" w:type="dxa"/>
            <w:tcBorders>
              <w:top w:val="nil"/>
              <w:left w:val="nil"/>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Натрий едкий ,чда 1 кг</w:t>
            </w:r>
          </w:p>
        </w:tc>
        <w:tc>
          <w:tcPr>
            <w:tcW w:w="5645" w:type="dxa"/>
            <w:tcBorders>
              <w:top w:val="nil"/>
              <w:left w:val="single" w:sz="4" w:space="0" w:color="auto"/>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Натрий едкий ,чда 1кг</w:t>
            </w:r>
          </w:p>
        </w:tc>
        <w:tc>
          <w:tcPr>
            <w:tcW w:w="720" w:type="dxa"/>
            <w:tcBorders>
              <w:top w:val="nil"/>
              <w:left w:val="single" w:sz="4" w:space="0" w:color="auto"/>
              <w:bottom w:val="single" w:sz="4" w:space="0" w:color="auto"/>
              <w:right w:val="nil"/>
            </w:tcBorders>
            <w:shd w:val="clear" w:color="auto" w:fill="auto"/>
            <w:noWrap/>
            <w:hideMark/>
          </w:tcPr>
          <w:p w:rsidR="00FA00EA" w:rsidRPr="00FA00EA" w:rsidRDefault="00FA00EA" w:rsidP="00FA00EA">
            <w:pPr>
              <w:suppressAutoHyphens w:val="0"/>
              <w:jc w:val="right"/>
              <w:rPr>
                <w:sz w:val="20"/>
                <w:szCs w:val="20"/>
                <w:lang w:eastAsia="ru-RU"/>
              </w:rPr>
            </w:pPr>
            <w:r w:rsidRPr="00FA00EA">
              <w:rPr>
                <w:sz w:val="20"/>
                <w:szCs w:val="20"/>
                <w:lang w:eastAsia="ru-RU"/>
              </w:rPr>
              <w:t>1</w:t>
            </w:r>
          </w:p>
        </w:tc>
        <w:tc>
          <w:tcPr>
            <w:tcW w:w="599" w:type="dxa"/>
            <w:tcBorders>
              <w:top w:val="nil"/>
              <w:left w:val="single" w:sz="4" w:space="0" w:color="auto"/>
              <w:bottom w:val="single" w:sz="4" w:space="0" w:color="auto"/>
              <w:right w:val="single" w:sz="4" w:space="0" w:color="auto"/>
            </w:tcBorders>
            <w:shd w:val="clear" w:color="auto" w:fill="auto"/>
            <w:noWrap/>
            <w:hideMark/>
          </w:tcPr>
          <w:p w:rsidR="00FA00EA" w:rsidRPr="00FA00EA" w:rsidRDefault="00FA00EA" w:rsidP="00FA00EA">
            <w:pPr>
              <w:suppressAutoHyphens w:val="0"/>
              <w:jc w:val="center"/>
              <w:rPr>
                <w:sz w:val="22"/>
                <w:szCs w:val="22"/>
                <w:lang w:eastAsia="ru-RU"/>
              </w:rPr>
            </w:pPr>
            <w:r w:rsidRPr="00FA00EA">
              <w:rPr>
                <w:sz w:val="22"/>
                <w:szCs w:val="22"/>
                <w:lang w:eastAsia="ru-RU"/>
              </w:rPr>
              <w:t>кг</w:t>
            </w:r>
          </w:p>
        </w:tc>
      </w:tr>
      <w:tr w:rsidR="00FA00EA" w:rsidRPr="00FA00EA" w:rsidTr="00FA00EA">
        <w:trPr>
          <w:trHeight w:val="810"/>
        </w:trPr>
        <w:tc>
          <w:tcPr>
            <w:tcW w:w="460" w:type="dxa"/>
            <w:tcBorders>
              <w:top w:val="nil"/>
              <w:left w:val="single" w:sz="4" w:space="0" w:color="auto"/>
              <w:bottom w:val="single" w:sz="4" w:space="0" w:color="auto"/>
              <w:right w:val="single" w:sz="4" w:space="0" w:color="auto"/>
            </w:tcBorders>
            <w:shd w:val="clear" w:color="auto" w:fill="auto"/>
            <w:hideMark/>
          </w:tcPr>
          <w:p w:rsidR="00FA00EA" w:rsidRPr="00FA00EA" w:rsidRDefault="00FA00EA" w:rsidP="00FA00EA">
            <w:pPr>
              <w:suppressAutoHyphens w:val="0"/>
              <w:jc w:val="right"/>
              <w:rPr>
                <w:sz w:val="20"/>
                <w:szCs w:val="20"/>
                <w:lang w:eastAsia="ru-RU"/>
              </w:rPr>
            </w:pPr>
            <w:r w:rsidRPr="00FA00EA">
              <w:rPr>
                <w:sz w:val="20"/>
                <w:szCs w:val="20"/>
                <w:lang w:eastAsia="ru-RU"/>
              </w:rPr>
              <w:lastRenderedPageBreak/>
              <w:t>39</w:t>
            </w:r>
          </w:p>
        </w:tc>
        <w:tc>
          <w:tcPr>
            <w:tcW w:w="1823" w:type="dxa"/>
            <w:tcBorders>
              <w:top w:val="nil"/>
              <w:left w:val="nil"/>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Глицерин  (фас.1.2 кг)</w:t>
            </w:r>
          </w:p>
        </w:tc>
        <w:tc>
          <w:tcPr>
            <w:tcW w:w="5645" w:type="dxa"/>
            <w:tcBorders>
              <w:top w:val="nil"/>
              <w:left w:val="single" w:sz="4" w:space="0" w:color="auto"/>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 xml:space="preserve">бесцветная прозрачная жидкость. Формула:С3Н8О3 </w:t>
            </w:r>
            <w:r w:rsidRPr="00FA00EA">
              <w:rPr>
                <w:sz w:val="20"/>
                <w:szCs w:val="20"/>
                <w:lang w:eastAsia="ru-RU"/>
              </w:rPr>
              <w:br/>
              <w:t>1.2 кг-фасовка</w:t>
            </w:r>
          </w:p>
        </w:tc>
        <w:tc>
          <w:tcPr>
            <w:tcW w:w="720" w:type="dxa"/>
            <w:tcBorders>
              <w:top w:val="nil"/>
              <w:left w:val="single" w:sz="4" w:space="0" w:color="auto"/>
              <w:bottom w:val="single" w:sz="4" w:space="0" w:color="auto"/>
              <w:right w:val="nil"/>
            </w:tcBorders>
            <w:shd w:val="clear" w:color="auto" w:fill="auto"/>
            <w:noWrap/>
            <w:hideMark/>
          </w:tcPr>
          <w:p w:rsidR="00FA00EA" w:rsidRPr="00FA00EA" w:rsidRDefault="00FA00EA" w:rsidP="00FA00EA">
            <w:pPr>
              <w:suppressAutoHyphens w:val="0"/>
              <w:jc w:val="right"/>
              <w:rPr>
                <w:sz w:val="20"/>
                <w:szCs w:val="20"/>
                <w:lang w:eastAsia="ru-RU"/>
              </w:rPr>
            </w:pPr>
            <w:r w:rsidRPr="00FA00EA">
              <w:rPr>
                <w:sz w:val="20"/>
                <w:szCs w:val="20"/>
                <w:lang w:eastAsia="ru-RU"/>
              </w:rPr>
              <w:t>1,2</w:t>
            </w:r>
          </w:p>
        </w:tc>
        <w:tc>
          <w:tcPr>
            <w:tcW w:w="599" w:type="dxa"/>
            <w:tcBorders>
              <w:top w:val="nil"/>
              <w:left w:val="single" w:sz="4" w:space="0" w:color="auto"/>
              <w:bottom w:val="single" w:sz="4" w:space="0" w:color="auto"/>
              <w:right w:val="single" w:sz="4" w:space="0" w:color="auto"/>
            </w:tcBorders>
            <w:shd w:val="clear" w:color="auto" w:fill="auto"/>
            <w:noWrap/>
            <w:hideMark/>
          </w:tcPr>
          <w:p w:rsidR="00FA00EA" w:rsidRPr="00FA00EA" w:rsidRDefault="00FA00EA" w:rsidP="00FA00EA">
            <w:pPr>
              <w:suppressAutoHyphens w:val="0"/>
              <w:jc w:val="center"/>
              <w:rPr>
                <w:sz w:val="22"/>
                <w:szCs w:val="22"/>
                <w:lang w:eastAsia="ru-RU"/>
              </w:rPr>
            </w:pPr>
            <w:r w:rsidRPr="00FA00EA">
              <w:rPr>
                <w:sz w:val="22"/>
                <w:szCs w:val="22"/>
                <w:lang w:eastAsia="ru-RU"/>
              </w:rPr>
              <w:t>кг</w:t>
            </w:r>
          </w:p>
        </w:tc>
      </w:tr>
      <w:tr w:rsidR="00FA00EA" w:rsidRPr="00FA00EA" w:rsidTr="00FA00EA">
        <w:trPr>
          <w:trHeight w:val="4020"/>
        </w:trPr>
        <w:tc>
          <w:tcPr>
            <w:tcW w:w="460" w:type="dxa"/>
            <w:tcBorders>
              <w:top w:val="nil"/>
              <w:left w:val="single" w:sz="4" w:space="0" w:color="auto"/>
              <w:bottom w:val="single" w:sz="4" w:space="0" w:color="auto"/>
              <w:right w:val="single" w:sz="4" w:space="0" w:color="auto"/>
            </w:tcBorders>
            <w:shd w:val="clear" w:color="auto" w:fill="auto"/>
            <w:hideMark/>
          </w:tcPr>
          <w:p w:rsidR="00FA00EA" w:rsidRPr="00FA00EA" w:rsidRDefault="00FA00EA" w:rsidP="00FA00EA">
            <w:pPr>
              <w:suppressAutoHyphens w:val="0"/>
              <w:jc w:val="right"/>
              <w:rPr>
                <w:sz w:val="20"/>
                <w:szCs w:val="20"/>
                <w:lang w:eastAsia="ru-RU"/>
              </w:rPr>
            </w:pPr>
            <w:r w:rsidRPr="00FA00EA">
              <w:rPr>
                <w:sz w:val="20"/>
                <w:szCs w:val="20"/>
                <w:lang w:eastAsia="ru-RU"/>
              </w:rPr>
              <w:t>40</w:t>
            </w:r>
          </w:p>
        </w:tc>
        <w:tc>
          <w:tcPr>
            <w:tcW w:w="1823" w:type="dxa"/>
            <w:tcBorders>
              <w:top w:val="nil"/>
              <w:left w:val="nil"/>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Реагент очищающий  для всех гем.анализаторов, 0,5 л, кат№ 501-199R</w:t>
            </w:r>
          </w:p>
        </w:tc>
        <w:tc>
          <w:tcPr>
            <w:tcW w:w="5645" w:type="dxa"/>
            <w:tcBorders>
              <w:top w:val="nil"/>
              <w:left w:val="single" w:sz="4" w:space="0" w:color="auto"/>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Очищающий раствор для гематологических анализаторов.</w:t>
            </w:r>
            <w:r w:rsidRPr="00FA00EA">
              <w:rPr>
                <w:sz w:val="20"/>
                <w:szCs w:val="20"/>
                <w:lang w:eastAsia="ru-RU"/>
              </w:rPr>
              <w:br/>
              <w:t>Кислотное-щелочное состояние, рН: 11,8-13,0</w:t>
            </w:r>
            <w:r w:rsidRPr="00FA00EA">
              <w:rPr>
                <w:sz w:val="20"/>
                <w:szCs w:val="20"/>
                <w:lang w:eastAsia="ru-RU"/>
              </w:rPr>
              <w:br/>
              <w:t xml:space="preserve">Содержание действующих веществ: </w:t>
            </w:r>
            <w:r w:rsidRPr="00FA00EA">
              <w:rPr>
                <w:sz w:val="20"/>
                <w:szCs w:val="20"/>
                <w:lang w:eastAsia="ru-RU"/>
              </w:rPr>
              <w:br/>
              <w:t>- гипохлорит натрия - не более 2%</w:t>
            </w:r>
            <w:r w:rsidRPr="00FA00EA">
              <w:rPr>
                <w:sz w:val="20"/>
                <w:szCs w:val="20"/>
                <w:lang w:eastAsia="ru-RU"/>
              </w:rPr>
              <w:br/>
              <w:t>- поверхностно-активные вещества - не более 0,2%</w:t>
            </w:r>
            <w:r w:rsidRPr="00FA00EA">
              <w:rPr>
                <w:sz w:val="20"/>
                <w:szCs w:val="20"/>
                <w:lang w:eastAsia="ru-RU"/>
              </w:rPr>
              <w:br/>
              <w:t>- четвертичная аммониевая соль - не более 0,025%</w:t>
            </w:r>
            <w:r w:rsidRPr="00FA00EA">
              <w:rPr>
                <w:sz w:val="20"/>
                <w:szCs w:val="20"/>
                <w:lang w:eastAsia="ru-RU"/>
              </w:rPr>
              <w:br/>
              <w:t>- гидроксид натрия - не более 0,5%</w:t>
            </w:r>
            <w:r w:rsidRPr="00FA00EA">
              <w:rPr>
                <w:sz w:val="20"/>
                <w:szCs w:val="20"/>
                <w:lang w:eastAsia="ru-RU"/>
              </w:rPr>
              <w:br/>
              <w:t>- деионизованная вода - не менее 97,275%</w:t>
            </w:r>
            <w:r w:rsidRPr="00FA00EA">
              <w:rPr>
                <w:sz w:val="20"/>
                <w:szCs w:val="20"/>
                <w:lang w:eastAsia="ru-RU"/>
              </w:rPr>
              <w:br/>
              <w:t>Физические свойства: бесцветный либо бледно-желтый водный раствор</w:t>
            </w:r>
            <w:r w:rsidRPr="00FA00EA">
              <w:rPr>
                <w:sz w:val="20"/>
                <w:szCs w:val="20"/>
                <w:lang w:eastAsia="ru-RU"/>
              </w:rPr>
              <w:br/>
              <w:t>Упаковка: пластиковая бутыль из первичного полиэтилена,Запайка горлышка фольгой для исключения протекания реагента при транспортировке и хранении и обеспечения контроля первого вскрытия.</w:t>
            </w:r>
            <w:r w:rsidRPr="00FA00EA">
              <w:rPr>
                <w:sz w:val="20"/>
                <w:szCs w:val="20"/>
                <w:lang w:eastAsia="ru-RU"/>
              </w:rPr>
              <w:br/>
              <w:t xml:space="preserve">Маркировка: Наличие на упаковке объема, номера лота, срока годности, условий хранения. </w:t>
            </w:r>
            <w:r w:rsidRPr="00FA00EA">
              <w:rPr>
                <w:sz w:val="20"/>
                <w:szCs w:val="20"/>
                <w:lang w:eastAsia="ru-RU"/>
              </w:rPr>
              <w:br/>
              <w:t>Объем флакона, мл - не менее 0,5</w:t>
            </w:r>
          </w:p>
        </w:tc>
        <w:tc>
          <w:tcPr>
            <w:tcW w:w="720" w:type="dxa"/>
            <w:tcBorders>
              <w:top w:val="nil"/>
              <w:left w:val="single" w:sz="4" w:space="0" w:color="auto"/>
              <w:bottom w:val="single" w:sz="4" w:space="0" w:color="auto"/>
              <w:right w:val="nil"/>
            </w:tcBorders>
            <w:shd w:val="clear" w:color="auto" w:fill="auto"/>
            <w:noWrap/>
            <w:hideMark/>
          </w:tcPr>
          <w:p w:rsidR="00FA00EA" w:rsidRPr="00FA00EA" w:rsidRDefault="00FA00EA" w:rsidP="00FA00EA">
            <w:pPr>
              <w:suppressAutoHyphens w:val="0"/>
              <w:jc w:val="right"/>
              <w:rPr>
                <w:sz w:val="20"/>
                <w:szCs w:val="20"/>
                <w:lang w:eastAsia="ru-RU"/>
              </w:rPr>
            </w:pPr>
            <w:r w:rsidRPr="00FA00EA">
              <w:rPr>
                <w:sz w:val="20"/>
                <w:szCs w:val="20"/>
                <w:lang w:eastAsia="ru-RU"/>
              </w:rPr>
              <w:t>10</w:t>
            </w:r>
          </w:p>
        </w:tc>
        <w:tc>
          <w:tcPr>
            <w:tcW w:w="599" w:type="dxa"/>
            <w:tcBorders>
              <w:top w:val="nil"/>
              <w:left w:val="single" w:sz="4" w:space="0" w:color="auto"/>
              <w:bottom w:val="single" w:sz="4" w:space="0" w:color="auto"/>
              <w:right w:val="single" w:sz="4" w:space="0" w:color="auto"/>
            </w:tcBorders>
            <w:shd w:val="clear" w:color="auto" w:fill="auto"/>
            <w:noWrap/>
            <w:hideMark/>
          </w:tcPr>
          <w:p w:rsidR="00FA00EA" w:rsidRPr="00FA00EA" w:rsidRDefault="00FA00EA" w:rsidP="00FA00EA">
            <w:pPr>
              <w:suppressAutoHyphens w:val="0"/>
              <w:jc w:val="center"/>
              <w:rPr>
                <w:sz w:val="22"/>
                <w:szCs w:val="22"/>
                <w:lang w:eastAsia="ru-RU"/>
              </w:rPr>
            </w:pPr>
            <w:r w:rsidRPr="00FA00EA">
              <w:rPr>
                <w:sz w:val="22"/>
                <w:szCs w:val="22"/>
                <w:lang w:eastAsia="ru-RU"/>
              </w:rPr>
              <w:t>шт.</w:t>
            </w:r>
          </w:p>
        </w:tc>
      </w:tr>
      <w:tr w:rsidR="00FA00EA" w:rsidRPr="00FA00EA" w:rsidTr="00FA00EA">
        <w:trPr>
          <w:trHeight w:val="3240"/>
        </w:trPr>
        <w:tc>
          <w:tcPr>
            <w:tcW w:w="460" w:type="dxa"/>
            <w:tcBorders>
              <w:top w:val="nil"/>
              <w:left w:val="single" w:sz="4" w:space="0" w:color="auto"/>
              <w:bottom w:val="single" w:sz="4" w:space="0" w:color="auto"/>
              <w:right w:val="single" w:sz="4" w:space="0" w:color="auto"/>
            </w:tcBorders>
            <w:shd w:val="clear" w:color="auto" w:fill="auto"/>
            <w:hideMark/>
          </w:tcPr>
          <w:p w:rsidR="00FA00EA" w:rsidRPr="00FA00EA" w:rsidRDefault="00FA00EA" w:rsidP="00FA00EA">
            <w:pPr>
              <w:suppressAutoHyphens w:val="0"/>
              <w:jc w:val="right"/>
              <w:rPr>
                <w:sz w:val="20"/>
                <w:szCs w:val="20"/>
                <w:lang w:eastAsia="ru-RU"/>
              </w:rPr>
            </w:pPr>
            <w:r w:rsidRPr="00FA00EA">
              <w:rPr>
                <w:sz w:val="20"/>
                <w:szCs w:val="20"/>
                <w:lang w:eastAsia="ru-RU"/>
              </w:rPr>
              <w:t>41</w:t>
            </w:r>
          </w:p>
        </w:tc>
        <w:tc>
          <w:tcPr>
            <w:tcW w:w="1823" w:type="dxa"/>
            <w:tcBorders>
              <w:top w:val="nil"/>
              <w:left w:val="nil"/>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КАЛЬЦИЙ  А-III АБРИС+ (250 мл)  Кат.№ С071.5.50 "Абрис+"</w:t>
            </w:r>
          </w:p>
        </w:tc>
        <w:tc>
          <w:tcPr>
            <w:tcW w:w="5645" w:type="dxa"/>
            <w:tcBorders>
              <w:top w:val="nil"/>
              <w:left w:val="single" w:sz="4" w:space="0" w:color="auto"/>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 xml:space="preserve">Набор реагентов и других связанных с ними материалов, предназначенный для количественного определения кальция (calcium (Ca2+)) в клиническом образце методом спектрофотометрического анализа. </w:t>
            </w:r>
            <w:r w:rsidRPr="00FA00EA">
              <w:rPr>
                <w:sz w:val="20"/>
                <w:szCs w:val="20"/>
                <w:lang w:eastAsia="ru-RU"/>
              </w:rPr>
              <w:br/>
              <w:t>Назначение: для ручной постановки и анализаторов открытого типа.</w:t>
            </w:r>
            <w:r w:rsidRPr="00FA00EA">
              <w:rPr>
                <w:sz w:val="20"/>
                <w:szCs w:val="20"/>
                <w:lang w:eastAsia="ru-RU"/>
              </w:rPr>
              <w:br/>
              <w:t>Состав набора: 1. Монореагент, рН 6,0: Натрий уксуснокислый – 100 ммоль/л; Арсеназо III – 250 мкмоль/л. 2. Калибратор – 2,5 ммоль/л.- 1мл. Линейность в диапазоне от 0,2 до  3,75 ммоль/л. Коэффициент вариации -  5 %.Реагенты готовы к использованию. Фасовка 5х50мл</w:t>
            </w:r>
          </w:p>
        </w:tc>
        <w:tc>
          <w:tcPr>
            <w:tcW w:w="720" w:type="dxa"/>
            <w:tcBorders>
              <w:top w:val="nil"/>
              <w:left w:val="single" w:sz="4" w:space="0" w:color="auto"/>
              <w:bottom w:val="single" w:sz="4" w:space="0" w:color="auto"/>
              <w:right w:val="nil"/>
            </w:tcBorders>
            <w:shd w:val="clear" w:color="auto" w:fill="auto"/>
            <w:noWrap/>
            <w:hideMark/>
          </w:tcPr>
          <w:p w:rsidR="00FA00EA" w:rsidRPr="00FA00EA" w:rsidRDefault="00FA00EA" w:rsidP="00FA00EA">
            <w:pPr>
              <w:suppressAutoHyphens w:val="0"/>
              <w:jc w:val="right"/>
              <w:rPr>
                <w:sz w:val="20"/>
                <w:szCs w:val="20"/>
                <w:lang w:eastAsia="ru-RU"/>
              </w:rPr>
            </w:pPr>
            <w:r w:rsidRPr="00FA00EA">
              <w:rPr>
                <w:sz w:val="20"/>
                <w:szCs w:val="20"/>
                <w:lang w:eastAsia="ru-RU"/>
              </w:rPr>
              <w:t>1</w:t>
            </w:r>
          </w:p>
        </w:tc>
        <w:tc>
          <w:tcPr>
            <w:tcW w:w="599" w:type="dxa"/>
            <w:tcBorders>
              <w:top w:val="nil"/>
              <w:left w:val="single" w:sz="4" w:space="0" w:color="auto"/>
              <w:bottom w:val="single" w:sz="4" w:space="0" w:color="auto"/>
              <w:right w:val="single" w:sz="4" w:space="0" w:color="auto"/>
            </w:tcBorders>
            <w:shd w:val="clear" w:color="auto" w:fill="auto"/>
            <w:noWrap/>
            <w:hideMark/>
          </w:tcPr>
          <w:p w:rsidR="00FA00EA" w:rsidRPr="00FA00EA" w:rsidRDefault="00FA00EA" w:rsidP="00FA00EA">
            <w:pPr>
              <w:suppressAutoHyphens w:val="0"/>
              <w:jc w:val="center"/>
              <w:rPr>
                <w:sz w:val="22"/>
                <w:szCs w:val="22"/>
                <w:lang w:eastAsia="ru-RU"/>
              </w:rPr>
            </w:pPr>
            <w:r w:rsidRPr="00FA00EA">
              <w:rPr>
                <w:sz w:val="22"/>
                <w:szCs w:val="22"/>
                <w:lang w:eastAsia="ru-RU"/>
              </w:rPr>
              <w:t>уп.</w:t>
            </w:r>
          </w:p>
        </w:tc>
      </w:tr>
      <w:tr w:rsidR="00FA00EA" w:rsidRPr="00FA00EA" w:rsidTr="00FA00EA">
        <w:trPr>
          <w:trHeight w:val="2520"/>
        </w:trPr>
        <w:tc>
          <w:tcPr>
            <w:tcW w:w="460" w:type="dxa"/>
            <w:tcBorders>
              <w:top w:val="nil"/>
              <w:left w:val="single" w:sz="4" w:space="0" w:color="auto"/>
              <w:bottom w:val="single" w:sz="4" w:space="0" w:color="auto"/>
              <w:right w:val="single" w:sz="4" w:space="0" w:color="auto"/>
            </w:tcBorders>
            <w:shd w:val="clear" w:color="auto" w:fill="auto"/>
            <w:hideMark/>
          </w:tcPr>
          <w:p w:rsidR="00FA00EA" w:rsidRPr="00FA00EA" w:rsidRDefault="00FA00EA" w:rsidP="00FA00EA">
            <w:pPr>
              <w:suppressAutoHyphens w:val="0"/>
              <w:jc w:val="right"/>
              <w:rPr>
                <w:sz w:val="20"/>
                <w:szCs w:val="20"/>
                <w:lang w:eastAsia="ru-RU"/>
              </w:rPr>
            </w:pPr>
            <w:r w:rsidRPr="00FA00EA">
              <w:rPr>
                <w:sz w:val="20"/>
                <w:szCs w:val="20"/>
                <w:lang w:eastAsia="ru-RU"/>
              </w:rPr>
              <w:t>42</w:t>
            </w:r>
          </w:p>
        </w:tc>
        <w:tc>
          <w:tcPr>
            <w:tcW w:w="1823" w:type="dxa"/>
            <w:tcBorders>
              <w:top w:val="nil"/>
              <w:left w:val="nil"/>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СРБ  Экспресс-латекс (250 опр.)  №301.1.250</w:t>
            </w:r>
          </w:p>
        </w:tc>
        <w:tc>
          <w:tcPr>
            <w:tcW w:w="5645" w:type="dxa"/>
            <w:tcBorders>
              <w:top w:val="nil"/>
              <w:left w:val="single" w:sz="4" w:space="0" w:color="auto"/>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Набор для качественного и полуколичественного экспресс определения содержания С-реактивного белка в сыворотке крови методом латекс-агглютинации. Состав набора: 1. АнтиСРБ-латекс; 2.Буфер; 3.Позитивный  калибратор- концентрация СРБ &gt; 6 мг/л; 4.Пограничный калибратор - концентрация СРБ ~ 6 мг/л; 5.Негативный  калибратор - концентрация СРБ &lt; 6 мг/л; 6.Три тест-пластины на полимерной основе. Реагенты стабильны при температуре хранения 2-8оС в течение 12 месяцев. Набор рассчитан на 250 определений. (Реагент1 - 5мл.+ Реагент2 - 5мл. + 3 калибратора по 0,2мл.)</w:t>
            </w:r>
          </w:p>
        </w:tc>
        <w:tc>
          <w:tcPr>
            <w:tcW w:w="720" w:type="dxa"/>
            <w:tcBorders>
              <w:top w:val="nil"/>
              <w:left w:val="single" w:sz="4" w:space="0" w:color="auto"/>
              <w:bottom w:val="single" w:sz="4" w:space="0" w:color="auto"/>
              <w:right w:val="nil"/>
            </w:tcBorders>
            <w:shd w:val="clear" w:color="auto" w:fill="auto"/>
            <w:noWrap/>
            <w:hideMark/>
          </w:tcPr>
          <w:p w:rsidR="00FA00EA" w:rsidRPr="00FA00EA" w:rsidRDefault="00FA00EA" w:rsidP="00FA00EA">
            <w:pPr>
              <w:suppressAutoHyphens w:val="0"/>
              <w:jc w:val="right"/>
              <w:rPr>
                <w:sz w:val="20"/>
                <w:szCs w:val="20"/>
                <w:lang w:eastAsia="ru-RU"/>
              </w:rPr>
            </w:pPr>
            <w:r w:rsidRPr="00FA00EA">
              <w:rPr>
                <w:sz w:val="20"/>
                <w:szCs w:val="20"/>
                <w:lang w:eastAsia="ru-RU"/>
              </w:rPr>
              <w:t>3</w:t>
            </w:r>
          </w:p>
        </w:tc>
        <w:tc>
          <w:tcPr>
            <w:tcW w:w="599" w:type="dxa"/>
            <w:tcBorders>
              <w:top w:val="nil"/>
              <w:left w:val="single" w:sz="4" w:space="0" w:color="auto"/>
              <w:bottom w:val="single" w:sz="4" w:space="0" w:color="auto"/>
              <w:right w:val="single" w:sz="4" w:space="0" w:color="auto"/>
            </w:tcBorders>
            <w:shd w:val="clear" w:color="auto" w:fill="auto"/>
            <w:noWrap/>
            <w:hideMark/>
          </w:tcPr>
          <w:p w:rsidR="00FA00EA" w:rsidRPr="00FA00EA" w:rsidRDefault="00FA00EA" w:rsidP="00FA00EA">
            <w:pPr>
              <w:suppressAutoHyphens w:val="0"/>
              <w:jc w:val="center"/>
              <w:rPr>
                <w:sz w:val="22"/>
                <w:szCs w:val="22"/>
                <w:lang w:eastAsia="ru-RU"/>
              </w:rPr>
            </w:pPr>
            <w:r w:rsidRPr="00FA00EA">
              <w:rPr>
                <w:sz w:val="22"/>
                <w:szCs w:val="22"/>
                <w:lang w:eastAsia="ru-RU"/>
              </w:rPr>
              <w:t>уп.</w:t>
            </w:r>
          </w:p>
        </w:tc>
      </w:tr>
      <w:tr w:rsidR="00FA00EA" w:rsidRPr="00FA00EA" w:rsidTr="00FA00EA">
        <w:trPr>
          <w:trHeight w:val="2520"/>
        </w:trPr>
        <w:tc>
          <w:tcPr>
            <w:tcW w:w="460" w:type="dxa"/>
            <w:tcBorders>
              <w:top w:val="nil"/>
              <w:left w:val="single" w:sz="4" w:space="0" w:color="auto"/>
              <w:bottom w:val="single" w:sz="4" w:space="0" w:color="auto"/>
              <w:right w:val="single" w:sz="4" w:space="0" w:color="auto"/>
            </w:tcBorders>
            <w:shd w:val="clear" w:color="auto" w:fill="auto"/>
            <w:hideMark/>
          </w:tcPr>
          <w:p w:rsidR="00FA00EA" w:rsidRPr="00FA00EA" w:rsidRDefault="00FA00EA" w:rsidP="00FA00EA">
            <w:pPr>
              <w:suppressAutoHyphens w:val="0"/>
              <w:jc w:val="right"/>
              <w:rPr>
                <w:sz w:val="20"/>
                <w:szCs w:val="20"/>
                <w:lang w:eastAsia="ru-RU"/>
              </w:rPr>
            </w:pPr>
            <w:r w:rsidRPr="00FA00EA">
              <w:rPr>
                <w:sz w:val="20"/>
                <w:szCs w:val="20"/>
                <w:lang w:eastAsia="ru-RU"/>
              </w:rPr>
              <w:t>43</w:t>
            </w:r>
          </w:p>
        </w:tc>
        <w:tc>
          <w:tcPr>
            <w:tcW w:w="1823" w:type="dxa"/>
            <w:tcBorders>
              <w:top w:val="nil"/>
              <w:left w:val="nil"/>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АСО  Экспресс-латекс (250опр.)  №303.1.250</w:t>
            </w:r>
          </w:p>
        </w:tc>
        <w:tc>
          <w:tcPr>
            <w:tcW w:w="5645" w:type="dxa"/>
            <w:tcBorders>
              <w:top w:val="nil"/>
              <w:left w:val="single" w:sz="4" w:space="0" w:color="auto"/>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Набор для качественного и полуколичественного экспресс определения содержания антистрептолизина О в сыворотке крови методом латекс-агглютинации. Состав набора: 1. СО-латекс; 2. Буфер; 3. Позитивный калибратор - концентрация АСО &gt;200 МЕ/мл. 4. Пограничный  калибратор - концентрация АСО ~ 200 МЕ/мл. 5. Негативный калибратор - концентрация АСО &lt; 200 МЕ/мл. 6. Три тест-пластины на полимерной основе. Реагенты стабильны при температуре хранения 2-8гр.С в течение 12 месяцев. Набор на 250 опр. (Реагент1 - 5мл.+ Реагент2 - 5мл. + 3 калибратора по 0,2мл.)</w:t>
            </w:r>
          </w:p>
        </w:tc>
        <w:tc>
          <w:tcPr>
            <w:tcW w:w="720" w:type="dxa"/>
            <w:tcBorders>
              <w:top w:val="nil"/>
              <w:left w:val="single" w:sz="4" w:space="0" w:color="auto"/>
              <w:bottom w:val="single" w:sz="4" w:space="0" w:color="auto"/>
              <w:right w:val="nil"/>
            </w:tcBorders>
            <w:shd w:val="clear" w:color="auto" w:fill="auto"/>
            <w:noWrap/>
            <w:hideMark/>
          </w:tcPr>
          <w:p w:rsidR="00FA00EA" w:rsidRPr="00FA00EA" w:rsidRDefault="00FA00EA" w:rsidP="00FA00EA">
            <w:pPr>
              <w:suppressAutoHyphens w:val="0"/>
              <w:jc w:val="right"/>
              <w:rPr>
                <w:sz w:val="20"/>
                <w:szCs w:val="20"/>
                <w:lang w:eastAsia="ru-RU"/>
              </w:rPr>
            </w:pPr>
            <w:r w:rsidRPr="00FA00EA">
              <w:rPr>
                <w:sz w:val="20"/>
                <w:szCs w:val="20"/>
                <w:lang w:eastAsia="ru-RU"/>
              </w:rPr>
              <w:t>3</w:t>
            </w:r>
          </w:p>
        </w:tc>
        <w:tc>
          <w:tcPr>
            <w:tcW w:w="599" w:type="dxa"/>
            <w:tcBorders>
              <w:top w:val="nil"/>
              <w:left w:val="single" w:sz="4" w:space="0" w:color="auto"/>
              <w:bottom w:val="single" w:sz="4" w:space="0" w:color="auto"/>
              <w:right w:val="single" w:sz="4" w:space="0" w:color="auto"/>
            </w:tcBorders>
            <w:shd w:val="clear" w:color="auto" w:fill="auto"/>
            <w:noWrap/>
            <w:hideMark/>
          </w:tcPr>
          <w:p w:rsidR="00FA00EA" w:rsidRPr="00FA00EA" w:rsidRDefault="00FA00EA" w:rsidP="00FA00EA">
            <w:pPr>
              <w:suppressAutoHyphens w:val="0"/>
              <w:jc w:val="center"/>
              <w:rPr>
                <w:sz w:val="22"/>
                <w:szCs w:val="22"/>
                <w:lang w:eastAsia="ru-RU"/>
              </w:rPr>
            </w:pPr>
            <w:r w:rsidRPr="00FA00EA">
              <w:rPr>
                <w:sz w:val="22"/>
                <w:szCs w:val="22"/>
                <w:lang w:eastAsia="ru-RU"/>
              </w:rPr>
              <w:t>уп.</w:t>
            </w:r>
          </w:p>
        </w:tc>
      </w:tr>
      <w:tr w:rsidR="00FA00EA" w:rsidRPr="00FA00EA" w:rsidTr="00FA00EA">
        <w:trPr>
          <w:trHeight w:val="3045"/>
        </w:trPr>
        <w:tc>
          <w:tcPr>
            <w:tcW w:w="460" w:type="dxa"/>
            <w:tcBorders>
              <w:top w:val="nil"/>
              <w:left w:val="single" w:sz="4" w:space="0" w:color="auto"/>
              <w:bottom w:val="single" w:sz="4" w:space="0" w:color="auto"/>
              <w:right w:val="single" w:sz="4" w:space="0" w:color="auto"/>
            </w:tcBorders>
            <w:shd w:val="clear" w:color="auto" w:fill="auto"/>
            <w:hideMark/>
          </w:tcPr>
          <w:p w:rsidR="00FA00EA" w:rsidRPr="00FA00EA" w:rsidRDefault="00FA00EA" w:rsidP="00FA00EA">
            <w:pPr>
              <w:suppressAutoHyphens w:val="0"/>
              <w:jc w:val="right"/>
              <w:rPr>
                <w:sz w:val="20"/>
                <w:szCs w:val="20"/>
                <w:lang w:eastAsia="ru-RU"/>
              </w:rPr>
            </w:pPr>
            <w:r w:rsidRPr="00FA00EA">
              <w:rPr>
                <w:sz w:val="20"/>
                <w:szCs w:val="20"/>
                <w:lang w:eastAsia="ru-RU"/>
              </w:rPr>
              <w:lastRenderedPageBreak/>
              <w:t>44</w:t>
            </w:r>
          </w:p>
        </w:tc>
        <w:tc>
          <w:tcPr>
            <w:tcW w:w="1823" w:type="dxa"/>
            <w:tcBorders>
              <w:top w:val="nil"/>
              <w:left w:val="nil"/>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РФ  Экспресс-латекс  (250 опр.)   №302.1.250</w:t>
            </w:r>
          </w:p>
        </w:tc>
        <w:tc>
          <w:tcPr>
            <w:tcW w:w="5645" w:type="dxa"/>
            <w:tcBorders>
              <w:top w:val="nil"/>
              <w:left w:val="single" w:sz="4" w:space="0" w:color="auto"/>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Набор для качественного и полуколичественного экспресс определения содержания ревматоидного фактора в сыворотке крови методом латекс-агглютинации. Состав набора: 1.АнтиРФ-латекс; 2.Буфер; 3.Позитивный  калибратор - концентрация РФ &gt; 8 МЕ/мл; 4.Пограничный  калибратор - концентрация РФ ~ 8 МЕ/мл;5. Негативный калибратор - концентрация РФ &lt; 8 МЕ/мл; 6.Три тест-пластины на полимерной основе. Реагенты стабильны при температуре хранения 2-8 оС в течение 12 месяцев. Набор на 250 опр. (Реагент1 - 5мл+ Реагент2 - 5мл + 3 калибратора по 0,2мл)</w:t>
            </w:r>
            <w:r w:rsidRPr="00FA00EA">
              <w:rPr>
                <w:sz w:val="20"/>
                <w:szCs w:val="20"/>
                <w:lang w:eastAsia="ru-RU"/>
              </w:rPr>
              <w:br/>
              <w:t>количество:</w:t>
            </w:r>
          </w:p>
        </w:tc>
        <w:tc>
          <w:tcPr>
            <w:tcW w:w="720" w:type="dxa"/>
            <w:tcBorders>
              <w:top w:val="nil"/>
              <w:left w:val="single" w:sz="4" w:space="0" w:color="auto"/>
              <w:bottom w:val="single" w:sz="4" w:space="0" w:color="auto"/>
              <w:right w:val="nil"/>
            </w:tcBorders>
            <w:shd w:val="clear" w:color="auto" w:fill="auto"/>
            <w:noWrap/>
            <w:hideMark/>
          </w:tcPr>
          <w:p w:rsidR="00FA00EA" w:rsidRPr="00FA00EA" w:rsidRDefault="00FA00EA" w:rsidP="00FA00EA">
            <w:pPr>
              <w:suppressAutoHyphens w:val="0"/>
              <w:jc w:val="right"/>
              <w:rPr>
                <w:sz w:val="20"/>
                <w:szCs w:val="20"/>
                <w:lang w:eastAsia="ru-RU"/>
              </w:rPr>
            </w:pPr>
            <w:r w:rsidRPr="00FA00EA">
              <w:rPr>
                <w:sz w:val="20"/>
                <w:szCs w:val="20"/>
                <w:lang w:eastAsia="ru-RU"/>
              </w:rPr>
              <w:t>3</w:t>
            </w:r>
          </w:p>
        </w:tc>
        <w:tc>
          <w:tcPr>
            <w:tcW w:w="599" w:type="dxa"/>
            <w:tcBorders>
              <w:top w:val="nil"/>
              <w:left w:val="single" w:sz="4" w:space="0" w:color="auto"/>
              <w:bottom w:val="single" w:sz="4" w:space="0" w:color="auto"/>
              <w:right w:val="single" w:sz="4" w:space="0" w:color="auto"/>
            </w:tcBorders>
            <w:shd w:val="clear" w:color="auto" w:fill="auto"/>
            <w:noWrap/>
            <w:hideMark/>
          </w:tcPr>
          <w:p w:rsidR="00FA00EA" w:rsidRPr="00FA00EA" w:rsidRDefault="00FA00EA" w:rsidP="00FA00EA">
            <w:pPr>
              <w:suppressAutoHyphens w:val="0"/>
              <w:jc w:val="center"/>
              <w:rPr>
                <w:sz w:val="22"/>
                <w:szCs w:val="22"/>
                <w:lang w:eastAsia="ru-RU"/>
              </w:rPr>
            </w:pPr>
            <w:r w:rsidRPr="00FA00EA">
              <w:rPr>
                <w:sz w:val="22"/>
                <w:szCs w:val="22"/>
                <w:lang w:eastAsia="ru-RU"/>
              </w:rPr>
              <w:t>уп.</w:t>
            </w:r>
          </w:p>
        </w:tc>
      </w:tr>
      <w:tr w:rsidR="00FA00EA" w:rsidRPr="00FA00EA" w:rsidTr="00FA00EA">
        <w:trPr>
          <w:trHeight w:val="1725"/>
        </w:trPr>
        <w:tc>
          <w:tcPr>
            <w:tcW w:w="460" w:type="dxa"/>
            <w:tcBorders>
              <w:top w:val="nil"/>
              <w:left w:val="single" w:sz="4" w:space="0" w:color="auto"/>
              <w:bottom w:val="single" w:sz="4" w:space="0" w:color="auto"/>
              <w:right w:val="single" w:sz="4" w:space="0" w:color="auto"/>
            </w:tcBorders>
            <w:shd w:val="clear" w:color="auto" w:fill="auto"/>
            <w:hideMark/>
          </w:tcPr>
          <w:p w:rsidR="00FA00EA" w:rsidRPr="00FA00EA" w:rsidRDefault="00FA00EA" w:rsidP="00FA00EA">
            <w:pPr>
              <w:suppressAutoHyphens w:val="0"/>
              <w:jc w:val="right"/>
              <w:rPr>
                <w:sz w:val="20"/>
                <w:szCs w:val="20"/>
                <w:lang w:eastAsia="ru-RU"/>
              </w:rPr>
            </w:pPr>
            <w:r w:rsidRPr="00FA00EA">
              <w:rPr>
                <w:sz w:val="20"/>
                <w:szCs w:val="20"/>
                <w:lang w:eastAsia="ru-RU"/>
              </w:rPr>
              <w:t>45</w:t>
            </w:r>
          </w:p>
        </w:tc>
        <w:tc>
          <w:tcPr>
            <w:tcW w:w="1823" w:type="dxa"/>
            <w:tcBorders>
              <w:top w:val="nil"/>
              <w:left w:val="nil"/>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Цоликлон анти-А (10 мл с капельницей)  кат.№  20001</w:t>
            </w:r>
          </w:p>
        </w:tc>
        <w:tc>
          <w:tcPr>
            <w:tcW w:w="5645" w:type="dxa"/>
            <w:tcBorders>
              <w:top w:val="nil"/>
              <w:left w:val="single" w:sz="4" w:space="0" w:color="auto"/>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Прозрачная  жидкость красного цвета.</w:t>
            </w:r>
            <w:r w:rsidRPr="00FA00EA">
              <w:rPr>
                <w:sz w:val="20"/>
                <w:szCs w:val="20"/>
                <w:lang w:eastAsia="ru-RU"/>
              </w:rPr>
              <w:br/>
              <w:t>Цоликлон анти-А   не должен давать агглютинации с эритроцитами групп В(III) и О(I). Титр Цоликлона анти-А в реакции агглютинации на плоскости с эритроцитами группы А(II). 1:32  -  1:64. Срок годности - 2года</w:t>
            </w:r>
            <w:r w:rsidRPr="00FA00EA">
              <w:rPr>
                <w:sz w:val="20"/>
                <w:szCs w:val="20"/>
                <w:lang w:eastAsia="ru-RU"/>
              </w:rPr>
              <w:br/>
              <w:t>Форма выпуска: флакон- капельница 10 мл.</w:t>
            </w:r>
          </w:p>
        </w:tc>
        <w:tc>
          <w:tcPr>
            <w:tcW w:w="720" w:type="dxa"/>
            <w:tcBorders>
              <w:top w:val="nil"/>
              <w:left w:val="single" w:sz="4" w:space="0" w:color="auto"/>
              <w:bottom w:val="single" w:sz="4" w:space="0" w:color="auto"/>
              <w:right w:val="nil"/>
            </w:tcBorders>
            <w:shd w:val="clear" w:color="auto" w:fill="auto"/>
            <w:noWrap/>
            <w:hideMark/>
          </w:tcPr>
          <w:p w:rsidR="00FA00EA" w:rsidRPr="00FA00EA" w:rsidRDefault="00FA00EA" w:rsidP="00FA00EA">
            <w:pPr>
              <w:suppressAutoHyphens w:val="0"/>
              <w:jc w:val="right"/>
              <w:rPr>
                <w:sz w:val="20"/>
                <w:szCs w:val="20"/>
                <w:lang w:eastAsia="ru-RU"/>
              </w:rPr>
            </w:pPr>
            <w:r w:rsidRPr="00FA00EA">
              <w:rPr>
                <w:sz w:val="20"/>
                <w:szCs w:val="20"/>
                <w:lang w:eastAsia="ru-RU"/>
              </w:rPr>
              <w:t>15</w:t>
            </w:r>
          </w:p>
        </w:tc>
        <w:tc>
          <w:tcPr>
            <w:tcW w:w="599" w:type="dxa"/>
            <w:tcBorders>
              <w:top w:val="nil"/>
              <w:left w:val="single" w:sz="4" w:space="0" w:color="auto"/>
              <w:bottom w:val="single" w:sz="4" w:space="0" w:color="auto"/>
              <w:right w:val="single" w:sz="4" w:space="0" w:color="auto"/>
            </w:tcBorders>
            <w:shd w:val="clear" w:color="auto" w:fill="auto"/>
            <w:noWrap/>
            <w:hideMark/>
          </w:tcPr>
          <w:p w:rsidR="00FA00EA" w:rsidRPr="00FA00EA" w:rsidRDefault="00FA00EA" w:rsidP="00FA00EA">
            <w:pPr>
              <w:suppressAutoHyphens w:val="0"/>
              <w:jc w:val="center"/>
              <w:rPr>
                <w:sz w:val="22"/>
                <w:szCs w:val="22"/>
                <w:lang w:eastAsia="ru-RU"/>
              </w:rPr>
            </w:pPr>
            <w:r w:rsidRPr="00FA00EA">
              <w:rPr>
                <w:sz w:val="22"/>
                <w:szCs w:val="22"/>
                <w:lang w:eastAsia="ru-RU"/>
              </w:rPr>
              <w:t>фл.</w:t>
            </w:r>
          </w:p>
        </w:tc>
      </w:tr>
      <w:tr w:rsidR="00FA00EA" w:rsidRPr="00FA00EA" w:rsidTr="00FA00EA">
        <w:trPr>
          <w:trHeight w:val="2025"/>
        </w:trPr>
        <w:tc>
          <w:tcPr>
            <w:tcW w:w="460" w:type="dxa"/>
            <w:tcBorders>
              <w:top w:val="nil"/>
              <w:left w:val="single" w:sz="4" w:space="0" w:color="auto"/>
              <w:bottom w:val="single" w:sz="4" w:space="0" w:color="auto"/>
              <w:right w:val="single" w:sz="4" w:space="0" w:color="auto"/>
            </w:tcBorders>
            <w:shd w:val="clear" w:color="auto" w:fill="auto"/>
            <w:hideMark/>
          </w:tcPr>
          <w:p w:rsidR="00FA00EA" w:rsidRPr="00FA00EA" w:rsidRDefault="00FA00EA" w:rsidP="00FA00EA">
            <w:pPr>
              <w:suppressAutoHyphens w:val="0"/>
              <w:jc w:val="right"/>
              <w:rPr>
                <w:sz w:val="20"/>
                <w:szCs w:val="20"/>
                <w:lang w:eastAsia="ru-RU"/>
              </w:rPr>
            </w:pPr>
            <w:r w:rsidRPr="00FA00EA">
              <w:rPr>
                <w:sz w:val="20"/>
                <w:szCs w:val="20"/>
                <w:lang w:eastAsia="ru-RU"/>
              </w:rPr>
              <w:t>46</w:t>
            </w:r>
          </w:p>
        </w:tc>
        <w:tc>
          <w:tcPr>
            <w:tcW w:w="1823" w:type="dxa"/>
            <w:tcBorders>
              <w:top w:val="nil"/>
              <w:left w:val="nil"/>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Цоликлон анти-АВ (10 мл с капельницей) кат.№ 20004</w:t>
            </w:r>
          </w:p>
        </w:tc>
        <w:tc>
          <w:tcPr>
            <w:tcW w:w="5645" w:type="dxa"/>
            <w:tcBorders>
              <w:top w:val="nil"/>
              <w:left w:val="single" w:sz="4" w:space="0" w:color="auto"/>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br/>
              <w:t xml:space="preserve"> Прозрачная бесцветная жидкость.  Цоликлон анти-АВ не должен давать агглютинации с эритроцитами группы О(I) </w:t>
            </w:r>
            <w:r w:rsidRPr="00FA00EA">
              <w:rPr>
                <w:sz w:val="20"/>
                <w:szCs w:val="20"/>
                <w:lang w:eastAsia="ru-RU"/>
              </w:rPr>
              <w:br/>
              <w:t>Титр Цоликлона анти-АВ в реакции агглютинации на плоскости с эритроцитами групп А(II) 1:32 - 1: 64 и В(III) 1 : 64</w:t>
            </w:r>
            <w:r w:rsidRPr="00FA00EA">
              <w:rPr>
                <w:sz w:val="20"/>
                <w:szCs w:val="20"/>
                <w:lang w:eastAsia="ru-RU"/>
              </w:rPr>
              <w:br/>
              <w:t>Срок годности - 2года</w:t>
            </w:r>
            <w:r w:rsidRPr="00FA00EA">
              <w:rPr>
                <w:sz w:val="20"/>
                <w:szCs w:val="20"/>
                <w:lang w:eastAsia="ru-RU"/>
              </w:rPr>
              <w:br/>
              <w:t>Форма выпуска: флакон- капельница 10 мл.</w:t>
            </w:r>
          </w:p>
        </w:tc>
        <w:tc>
          <w:tcPr>
            <w:tcW w:w="720" w:type="dxa"/>
            <w:tcBorders>
              <w:top w:val="nil"/>
              <w:left w:val="single" w:sz="4" w:space="0" w:color="auto"/>
              <w:bottom w:val="single" w:sz="4" w:space="0" w:color="auto"/>
              <w:right w:val="nil"/>
            </w:tcBorders>
            <w:shd w:val="clear" w:color="auto" w:fill="auto"/>
            <w:noWrap/>
            <w:hideMark/>
          </w:tcPr>
          <w:p w:rsidR="00FA00EA" w:rsidRPr="00FA00EA" w:rsidRDefault="00FA00EA" w:rsidP="00FA00EA">
            <w:pPr>
              <w:suppressAutoHyphens w:val="0"/>
              <w:jc w:val="right"/>
              <w:rPr>
                <w:sz w:val="20"/>
                <w:szCs w:val="20"/>
                <w:lang w:eastAsia="ru-RU"/>
              </w:rPr>
            </w:pPr>
            <w:r w:rsidRPr="00FA00EA">
              <w:rPr>
                <w:sz w:val="20"/>
                <w:szCs w:val="20"/>
                <w:lang w:eastAsia="ru-RU"/>
              </w:rPr>
              <w:t>15</w:t>
            </w:r>
          </w:p>
        </w:tc>
        <w:tc>
          <w:tcPr>
            <w:tcW w:w="599" w:type="dxa"/>
            <w:tcBorders>
              <w:top w:val="nil"/>
              <w:left w:val="single" w:sz="4" w:space="0" w:color="auto"/>
              <w:bottom w:val="single" w:sz="4" w:space="0" w:color="auto"/>
              <w:right w:val="single" w:sz="4" w:space="0" w:color="auto"/>
            </w:tcBorders>
            <w:shd w:val="clear" w:color="auto" w:fill="auto"/>
            <w:noWrap/>
            <w:hideMark/>
          </w:tcPr>
          <w:p w:rsidR="00FA00EA" w:rsidRPr="00FA00EA" w:rsidRDefault="00FA00EA" w:rsidP="00FA00EA">
            <w:pPr>
              <w:suppressAutoHyphens w:val="0"/>
              <w:jc w:val="center"/>
              <w:rPr>
                <w:sz w:val="22"/>
                <w:szCs w:val="22"/>
                <w:lang w:eastAsia="ru-RU"/>
              </w:rPr>
            </w:pPr>
            <w:r w:rsidRPr="00FA00EA">
              <w:rPr>
                <w:sz w:val="22"/>
                <w:szCs w:val="22"/>
                <w:lang w:eastAsia="ru-RU"/>
              </w:rPr>
              <w:t>фл.</w:t>
            </w:r>
          </w:p>
        </w:tc>
      </w:tr>
      <w:tr w:rsidR="00FA00EA" w:rsidRPr="00FA00EA" w:rsidTr="00FA00EA">
        <w:trPr>
          <w:trHeight w:val="1350"/>
        </w:trPr>
        <w:tc>
          <w:tcPr>
            <w:tcW w:w="460" w:type="dxa"/>
            <w:tcBorders>
              <w:top w:val="nil"/>
              <w:left w:val="single" w:sz="4" w:space="0" w:color="auto"/>
              <w:bottom w:val="single" w:sz="4" w:space="0" w:color="auto"/>
              <w:right w:val="single" w:sz="4" w:space="0" w:color="auto"/>
            </w:tcBorders>
            <w:shd w:val="clear" w:color="auto" w:fill="auto"/>
            <w:hideMark/>
          </w:tcPr>
          <w:p w:rsidR="00FA00EA" w:rsidRPr="00FA00EA" w:rsidRDefault="00FA00EA" w:rsidP="00FA00EA">
            <w:pPr>
              <w:suppressAutoHyphens w:val="0"/>
              <w:jc w:val="right"/>
              <w:rPr>
                <w:sz w:val="20"/>
                <w:szCs w:val="20"/>
                <w:lang w:eastAsia="ru-RU"/>
              </w:rPr>
            </w:pPr>
            <w:r w:rsidRPr="00FA00EA">
              <w:rPr>
                <w:sz w:val="20"/>
                <w:szCs w:val="20"/>
                <w:lang w:eastAsia="ru-RU"/>
              </w:rPr>
              <w:t>47</w:t>
            </w:r>
          </w:p>
        </w:tc>
        <w:tc>
          <w:tcPr>
            <w:tcW w:w="1823" w:type="dxa"/>
            <w:tcBorders>
              <w:top w:val="nil"/>
              <w:left w:val="nil"/>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Цоликлон анти-В (10 мл с капельницей) кат.№ 20005</w:t>
            </w:r>
          </w:p>
        </w:tc>
        <w:tc>
          <w:tcPr>
            <w:tcW w:w="5645" w:type="dxa"/>
            <w:tcBorders>
              <w:top w:val="nil"/>
              <w:left w:val="single" w:sz="4" w:space="0" w:color="auto"/>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Прозрачная  жидкость синего цвета. Цоликлон анти-В   не должен давать агглютинации с эритроцитами групп А(II) и О(I). Титр Цоликлона анти-В в реакции агглютинации на плоскости с эритроцитами группы В(III) 1 : 64. Срок годности - 2года. Форма выпуска: флакон- капельница 10 мл.</w:t>
            </w:r>
          </w:p>
        </w:tc>
        <w:tc>
          <w:tcPr>
            <w:tcW w:w="720" w:type="dxa"/>
            <w:tcBorders>
              <w:top w:val="nil"/>
              <w:left w:val="single" w:sz="4" w:space="0" w:color="auto"/>
              <w:bottom w:val="single" w:sz="4" w:space="0" w:color="auto"/>
              <w:right w:val="nil"/>
            </w:tcBorders>
            <w:shd w:val="clear" w:color="auto" w:fill="auto"/>
            <w:noWrap/>
            <w:hideMark/>
          </w:tcPr>
          <w:p w:rsidR="00FA00EA" w:rsidRPr="00FA00EA" w:rsidRDefault="00FA00EA" w:rsidP="00FA00EA">
            <w:pPr>
              <w:suppressAutoHyphens w:val="0"/>
              <w:jc w:val="right"/>
              <w:rPr>
                <w:sz w:val="20"/>
                <w:szCs w:val="20"/>
                <w:lang w:eastAsia="ru-RU"/>
              </w:rPr>
            </w:pPr>
            <w:r w:rsidRPr="00FA00EA">
              <w:rPr>
                <w:sz w:val="20"/>
                <w:szCs w:val="20"/>
                <w:lang w:eastAsia="ru-RU"/>
              </w:rPr>
              <w:t>15</w:t>
            </w:r>
          </w:p>
        </w:tc>
        <w:tc>
          <w:tcPr>
            <w:tcW w:w="599" w:type="dxa"/>
            <w:tcBorders>
              <w:top w:val="nil"/>
              <w:left w:val="single" w:sz="4" w:space="0" w:color="auto"/>
              <w:bottom w:val="single" w:sz="4" w:space="0" w:color="auto"/>
              <w:right w:val="single" w:sz="4" w:space="0" w:color="auto"/>
            </w:tcBorders>
            <w:shd w:val="clear" w:color="auto" w:fill="auto"/>
            <w:noWrap/>
            <w:hideMark/>
          </w:tcPr>
          <w:p w:rsidR="00FA00EA" w:rsidRPr="00FA00EA" w:rsidRDefault="00FA00EA" w:rsidP="00FA00EA">
            <w:pPr>
              <w:suppressAutoHyphens w:val="0"/>
              <w:jc w:val="center"/>
              <w:rPr>
                <w:sz w:val="22"/>
                <w:szCs w:val="22"/>
                <w:lang w:eastAsia="ru-RU"/>
              </w:rPr>
            </w:pPr>
            <w:r w:rsidRPr="00FA00EA">
              <w:rPr>
                <w:sz w:val="22"/>
                <w:szCs w:val="22"/>
                <w:lang w:eastAsia="ru-RU"/>
              </w:rPr>
              <w:t>фл.</w:t>
            </w:r>
          </w:p>
        </w:tc>
      </w:tr>
      <w:tr w:rsidR="00FA00EA" w:rsidRPr="00FA00EA" w:rsidTr="00FA00EA">
        <w:trPr>
          <w:trHeight w:val="3015"/>
        </w:trPr>
        <w:tc>
          <w:tcPr>
            <w:tcW w:w="460" w:type="dxa"/>
            <w:tcBorders>
              <w:top w:val="nil"/>
              <w:left w:val="single" w:sz="4" w:space="0" w:color="auto"/>
              <w:bottom w:val="single" w:sz="4" w:space="0" w:color="auto"/>
              <w:right w:val="single" w:sz="4" w:space="0" w:color="auto"/>
            </w:tcBorders>
            <w:shd w:val="clear" w:color="auto" w:fill="auto"/>
            <w:hideMark/>
          </w:tcPr>
          <w:p w:rsidR="00FA00EA" w:rsidRPr="00FA00EA" w:rsidRDefault="00FA00EA" w:rsidP="00FA00EA">
            <w:pPr>
              <w:suppressAutoHyphens w:val="0"/>
              <w:jc w:val="right"/>
              <w:rPr>
                <w:sz w:val="20"/>
                <w:szCs w:val="20"/>
                <w:lang w:eastAsia="ru-RU"/>
              </w:rPr>
            </w:pPr>
            <w:r w:rsidRPr="00FA00EA">
              <w:rPr>
                <w:sz w:val="20"/>
                <w:szCs w:val="20"/>
                <w:lang w:eastAsia="ru-RU"/>
              </w:rPr>
              <w:t>48</w:t>
            </w:r>
          </w:p>
        </w:tc>
        <w:tc>
          <w:tcPr>
            <w:tcW w:w="1823" w:type="dxa"/>
            <w:tcBorders>
              <w:top w:val="nil"/>
              <w:left w:val="nil"/>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Цоликлон анти-D Супер IgM (10 мл с капельницей) кат.№ 20009</w:t>
            </w:r>
          </w:p>
        </w:tc>
        <w:tc>
          <w:tcPr>
            <w:tcW w:w="5645" w:type="dxa"/>
            <w:tcBorders>
              <w:top w:val="nil"/>
              <w:left w:val="single" w:sz="4" w:space="0" w:color="auto"/>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Прозрачная жидкость светло-бежевого цвета</w:t>
            </w:r>
            <w:r w:rsidRPr="00FA00EA">
              <w:rPr>
                <w:sz w:val="20"/>
                <w:szCs w:val="20"/>
                <w:lang w:eastAsia="ru-RU"/>
              </w:rPr>
              <w:br/>
              <w:t xml:space="preserve">Цоликлон Анти-D Супер не должен агглютинировать D(-) эритроциты. </w:t>
            </w:r>
            <w:r w:rsidRPr="00FA00EA">
              <w:rPr>
                <w:sz w:val="20"/>
                <w:szCs w:val="20"/>
                <w:lang w:eastAsia="ru-RU"/>
              </w:rPr>
              <w:br/>
              <w:t>Четкая реакция  агглютинации  должна наступать в течение 30 сек.  после смешивания реагента с D(+) эритроцитами</w:t>
            </w:r>
            <w:r w:rsidRPr="00FA00EA">
              <w:rPr>
                <w:sz w:val="20"/>
                <w:szCs w:val="20"/>
                <w:lang w:eastAsia="ru-RU"/>
              </w:rPr>
              <w:br/>
              <w:t>Титр Цоликлона Анти-D Супер в реакции агглютинации  на плоскости с  D(+)  эритроцитами  1:32</w:t>
            </w:r>
            <w:r w:rsidRPr="00FA00EA">
              <w:rPr>
                <w:sz w:val="20"/>
                <w:szCs w:val="20"/>
                <w:lang w:eastAsia="ru-RU"/>
              </w:rPr>
              <w:br/>
              <w:t>Титр Цоликлона Анти-D Супер в реакции прямой агглютинации с  D(+)  эритроцитами в микроплате не ниже 1:256</w:t>
            </w:r>
            <w:r w:rsidRPr="00FA00EA">
              <w:rPr>
                <w:sz w:val="20"/>
                <w:szCs w:val="20"/>
                <w:lang w:eastAsia="ru-RU"/>
              </w:rPr>
              <w:br/>
              <w:t>Срок годности - 2года</w:t>
            </w:r>
            <w:r w:rsidRPr="00FA00EA">
              <w:rPr>
                <w:sz w:val="20"/>
                <w:szCs w:val="20"/>
                <w:lang w:eastAsia="ru-RU"/>
              </w:rPr>
              <w:br/>
              <w:t>Форма выпуска: флакон - капельница 10 мл.</w:t>
            </w:r>
          </w:p>
        </w:tc>
        <w:tc>
          <w:tcPr>
            <w:tcW w:w="720" w:type="dxa"/>
            <w:tcBorders>
              <w:top w:val="nil"/>
              <w:left w:val="single" w:sz="4" w:space="0" w:color="auto"/>
              <w:bottom w:val="single" w:sz="4" w:space="0" w:color="auto"/>
              <w:right w:val="nil"/>
            </w:tcBorders>
            <w:shd w:val="clear" w:color="auto" w:fill="auto"/>
            <w:noWrap/>
            <w:hideMark/>
          </w:tcPr>
          <w:p w:rsidR="00FA00EA" w:rsidRPr="00FA00EA" w:rsidRDefault="00FA00EA" w:rsidP="00FA00EA">
            <w:pPr>
              <w:suppressAutoHyphens w:val="0"/>
              <w:jc w:val="right"/>
              <w:rPr>
                <w:sz w:val="20"/>
                <w:szCs w:val="20"/>
                <w:lang w:eastAsia="ru-RU"/>
              </w:rPr>
            </w:pPr>
            <w:r w:rsidRPr="00FA00EA">
              <w:rPr>
                <w:sz w:val="20"/>
                <w:szCs w:val="20"/>
                <w:lang w:eastAsia="ru-RU"/>
              </w:rPr>
              <w:t>15</w:t>
            </w:r>
          </w:p>
        </w:tc>
        <w:tc>
          <w:tcPr>
            <w:tcW w:w="599" w:type="dxa"/>
            <w:tcBorders>
              <w:top w:val="nil"/>
              <w:left w:val="single" w:sz="4" w:space="0" w:color="auto"/>
              <w:bottom w:val="single" w:sz="4" w:space="0" w:color="auto"/>
              <w:right w:val="single" w:sz="4" w:space="0" w:color="auto"/>
            </w:tcBorders>
            <w:shd w:val="clear" w:color="auto" w:fill="auto"/>
            <w:noWrap/>
            <w:hideMark/>
          </w:tcPr>
          <w:p w:rsidR="00FA00EA" w:rsidRPr="00FA00EA" w:rsidRDefault="00FA00EA" w:rsidP="00FA00EA">
            <w:pPr>
              <w:suppressAutoHyphens w:val="0"/>
              <w:jc w:val="center"/>
              <w:rPr>
                <w:sz w:val="22"/>
                <w:szCs w:val="22"/>
                <w:lang w:eastAsia="ru-RU"/>
              </w:rPr>
            </w:pPr>
            <w:r w:rsidRPr="00FA00EA">
              <w:rPr>
                <w:sz w:val="22"/>
                <w:szCs w:val="22"/>
                <w:lang w:eastAsia="ru-RU"/>
              </w:rPr>
              <w:t>фл.</w:t>
            </w:r>
          </w:p>
        </w:tc>
      </w:tr>
      <w:tr w:rsidR="00FA00EA" w:rsidRPr="00FA00EA" w:rsidTr="00FA00EA">
        <w:trPr>
          <w:trHeight w:val="3375"/>
        </w:trPr>
        <w:tc>
          <w:tcPr>
            <w:tcW w:w="460" w:type="dxa"/>
            <w:tcBorders>
              <w:top w:val="nil"/>
              <w:left w:val="single" w:sz="4" w:space="0" w:color="auto"/>
              <w:bottom w:val="single" w:sz="4" w:space="0" w:color="auto"/>
              <w:right w:val="single" w:sz="4" w:space="0" w:color="auto"/>
            </w:tcBorders>
            <w:shd w:val="clear" w:color="auto" w:fill="auto"/>
            <w:hideMark/>
          </w:tcPr>
          <w:p w:rsidR="00FA00EA" w:rsidRPr="00FA00EA" w:rsidRDefault="00FA00EA" w:rsidP="00FA00EA">
            <w:pPr>
              <w:suppressAutoHyphens w:val="0"/>
              <w:jc w:val="right"/>
              <w:rPr>
                <w:sz w:val="20"/>
                <w:szCs w:val="20"/>
                <w:lang w:eastAsia="ru-RU"/>
              </w:rPr>
            </w:pPr>
            <w:r w:rsidRPr="00FA00EA">
              <w:rPr>
                <w:sz w:val="20"/>
                <w:szCs w:val="20"/>
                <w:lang w:eastAsia="ru-RU"/>
              </w:rPr>
              <w:lastRenderedPageBreak/>
              <w:t>49</w:t>
            </w:r>
          </w:p>
        </w:tc>
        <w:tc>
          <w:tcPr>
            <w:tcW w:w="1823" w:type="dxa"/>
            <w:tcBorders>
              <w:top w:val="nil"/>
              <w:left w:val="nil"/>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Азопирам-комплект кат. № 50104 (готовый реактив)</w:t>
            </w:r>
          </w:p>
        </w:tc>
        <w:tc>
          <w:tcPr>
            <w:tcW w:w="5645" w:type="dxa"/>
            <w:tcBorders>
              <w:top w:val="nil"/>
              <w:left w:val="single" w:sz="4" w:space="0" w:color="auto"/>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Набор предназначен для обнаружения остатков крови, следов ржавчины, стирального порошка с отбеливателями, окислителей (хлорамина, хлорной извести, хромовой смеси и др.), пероксидаз растительного происхождения (растительных остатков) и кислот на изделиях медицинского назначения при контроле качества их предстерилизационной очистки в лечебно-профилактических учреждениях,санитарно-эпидемиологических и дезинфекционных</w:t>
            </w:r>
            <w:r w:rsidRPr="00FA00EA">
              <w:rPr>
                <w:sz w:val="20"/>
                <w:szCs w:val="20"/>
                <w:lang w:eastAsia="ru-RU"/>
              </w:rPr>
              <w:br/>
              <w:t>станциях. Набор рассчитан на приготовление 200 мл рабочего реактива. СОСТАВ НАБОРА: 1. Амидопирин, стабилизатор (раствор в изопропиловом спирте) - 90 мл. 2. Анилин солянокислый, стабилизатор (раствор в изопропиловом спирте) - 10 мл. Набор должен храниться при температуре 2- 25°С в тёмном месте в упаковке предприятия-изготовителя в течение всего срока годности (2 года). Реагенты полностью готовы к использованию.</w:t>
            </w:r>
          </w:p>
        </w:tc>
        <w:tc>
          <w:tcPr>
            <w:tcW w:w="720" w:type="dxa"/>
            <w:tcBorders>
              <w:top w:val="nil"/>
              <w:left w:val="single" w:sz="4" w:space="0" w:color="auto"/>
              <w:bottom w:val="single" w:sz="4" w:space="0" w:color="auto"/>
              <w:right w:val="nil"/>
            </w:tcBorders>
            <w:shd w:val="clear" w:color="auto" w:fill="auto"/>
            <w:noWrap/>
            <w:hideMark/>
          </w:tcPr>
          <w:p w:rsidR="00FA00EA" w:rsidRPr="00FA00EA" w:rsidRDefault="00FA00EA" w:rsidP="00FA00EA">
            <w:pPr>
              <w:suppressAutoHyphens w:val="0"/>
              <w:jc w:val="right"/>
              <w:rPr>
                <w:sz w:val="20"/>
                <w:szCs w:val="20"/>
                <w:lang w:eastAsia="ru-RU"/>
              </w:rPr>
            </w:pPr>
            <w:r w:rsidRPr="00FA00EA">
              <w:rPr>
                <w:sz w:val="20"/>
                <w:szCs w:val="20"/>
                <w:lang w:eastAsia="ru-RU"/>
              </w:rPr>
              <w:t>2</w:t>
            </w:r>
          </w:p>
        </w:tc>
        <w:tc>
          <w:tcPr>
            <w:tcW w:w="599" w:type="dxa"/>
            <w:tcBorders>
              <w:top w:val="nil"/>
              <w:left w:val="single" w:sz="4" w:space="0" w:color="auto"/>
              <w:bottom w:val="single" w:sz="4" w:space="0" w:color="auto"/>
              <w:right w:val="single" w:sz="4" w:space="0" w:color="auto"/>
            </w:tcBorders>
            <w:shd w:val="clear" w:color="auto" w:fill="auto"/>
            <w:noWrap/>
            <w:hideMark/>
          </w:tcPr>
          <w:p w:rsidR="00FA00EA" w:rsidRPr="00FA00EA" w:rsidRDefault="00FA00EA" w:rsidP="00FA00EA">
            <w:pPr>
              <w:suppressAutoHyphens w:val="0"/>
              <w:jc w:val="center"/>
              <w:rPr>
                <w:sz w:val="22"/>
                <w:szCs w:val="22"/>
                <w:lang w:eastAsia="ru-RU"/>
              </w:rPr>
            </w:pPr>
            <w:r w:rsidRPr="00FA00EA">
              <w:rPr>
                <w:sz w:val="22"/>
                <w:szCs w:val="22"/>
                <w:lang w:eastAsia="ru-RU"/>
              </w:rPr>
              <w:t>уп.</w:t>
            </w:r>
          </w:p>
        </w:tc>
      </w:tr>
      <w:tr w:rsidR="00FA00EA" w:rsidRPr="00FA00EA" w:rsidTr="00FA00EA">
        <w:trPr>
          <w:trHeight w:val="1830"/>
        </w:trPr>
        <w:tc>
          <w:tcPr>
            <w:tcW w:w="460" w:type="dxa"/>
            <w:tcBorders>
              <w:top w:val="nil"/>
              <w:left w:val="single" w:sz="4" w:space="0" w:color="auto"/>
              <w:bottom w:val="single" w:sz="4" w:space="0" w:color="auto"/>
              <w:right w:val="single" w:sz="4" w:space="0" w:color="auto"/>
            </w:tcBorders>
            <w:shd w:val="clear" w:color="auto" w:fill="auto"/>
            <w:hideMark/>
          </w:tcPr>
          <w:p w:rsidR="00FA00EA" w:rsidRPr="00FA00EA" w:rsidRDefault="00FA00EA" w:rsidP="00FA00EA">
            <w:pPr>
              <w:suppressAutoHyphens w:val="0"/>
              <w:jc w:val="right"/>
              <w:rPr>
                <w:sz w:val="20"/>
                <w:szCs w:val="20"/>
                <w:lang w:eastAsia="ru-RU"/>
              </w:rPr>
            </w:pPr>
            <w:r w:rsidRPr="00FA00EA">
              <w:rPr>
                <w:sz w:val="20"/>
                <w:szCs w:val="20"/>
                <w:lang w:eastAsia="ru-RU"/>
              </w:rPr>
              <w:t>50</w:t>
            </w:r>
          </w:p>
        </w:tc>
        <w:tc>
          <w:tcPr>
            <w:tcW w:w="1823" w:type="dxa"/>
            <w:tcBorders>
              <w:top w:val="nil"/>
              <w:left w:val="nil"/>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Раствор фенолфталеина спиртовой (1%) 100 мл кат.№471</w:t>
            </w:r>
          </w:p>
        </w:tc>
        <w:tc>
          <w:tcPr>
            <w:tcW w:w="5645" w:type="dxa"/>
            <w:tcBorders>
              <w:top w:val="nil"/>
              <w:left w:val="single" w:sz="4" w:space="0" w:color="auto"/>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Раствор фенолфталеина предназначен для проверки качества очистки и остатков моющих средств изделий медицинского назначения. Бесцветная, прозрачная жидкость в количестве 100 мл, расфасована в полиэтиленовые флаконы матового цвета с цветной крышкой.Готов к использованию.</w:t>
            </w:r>
          </w:p>
        </w:tc>
        <w:tc>
          <w:tcPr>
            <w:tcW w:w="720" w:type="dxa"/>
            <w:tcBorders>
              <w:top w:val="nil"/>
              <w:left w:val="single" w:sz="4" w:space="0" w:color="auto"/>
              <w:bottom w:val="single" w:sz="4" w:space="0" w:color="auto"/>
              <w:right w:val="nil"/>
            </w:tcBorders>
            <w:shd w:val="clear" w:color="auto" w:fill="auto"/>
            <w:noWrap/>
            <w:hideMark/>
          </w:tcPr>
          <w:p w:rsidR="00FA00EA" w:rsidRPr="00FA00EA" w:rsidRDefault="00FA00EA" w:rsidP="00FA00EA">
            <w:pPr>
              <w:suppressAutoHyphens w:val="0"/>
              <w:jc w:val="right"/>
              <w:rPr>
                <w:sz w:val="20"/>
                <w:szCs w:val="20"/>
                <w:lang w:eastAsia="ru-RU"/>
              </w:rPr>
            </w:pPr>
            <w:r w:rsidRPr="00FA00EA">
              <w:rPr>
                <w:sz w:val="20"/>
                <w:szCs w:val="20"/>
                <w:lang w:eastAsia="ru-RU"/>
              </w:rPr>
              <w:t>2</w:t>
            </w:r>
          </w:p>
        </w:tc>
        <w:tc>
          <w:tcPr>
            <w:tcW w:w="599" w:type="dxa"/>
            <w:tcBorders>
              <w:top w:val="nil"/>
              <w:left w:val="single" w:sz="4" w:space="0" w:color="auto"/>
              <w:bottom w:val="single" w:sz="4" w:space="0" w:color="auto"/>
              <w:right w:val="single" w:sz="4" w:space="0" w:color="auto"/>
            </w:tcBorders>
            <w:shd w:val="clear" w:color="auto" w:fill="auto"/>
            <w:noWrap/>
            <w:hideMark/>
          </w:tcPr>
          <w:p w:rsidR="00FA00EA" w:rsidRPr="00FA00EA" w:rsidRDefault="00FA00EA" w:rsidP="00FA00EA">
            <w:pPr>
              <w:suppressAutoHyphens w:val="0"/>
              <w:jc w:val="center"/>
              <w:rPr>
                <w:sz w:val="22"/>
                <w:szCs w:val="22"/>
                <w:lang w:eastAsia="ru-RU"/>
              </w:rPr>
            </w:pPr>
            <w:r w:rsidRPr="00FA00EA">
              <w:rPr>
                <w:sz w:val="22"/>
                <w:szCs w:val="22"/>
                <w:lang w:eastAsia="ru-RU"/>
              </w:rPr>
              <w:t>фл.</w:t>
            </w:r>
          </w:p>
        </w:tc>
      </w:tr>
      <w:tr w:rsidR="00FA00EA" w:rsidRPr="00FA00EA" w:rsidTr="00FA00EA">
        <w:trPr>
          <w:trHeight w:val="795"/>
        </w:trPr>
        <w:tc>
          <w:tcPr>
            <w:tcW w:w="460" w:type="dxa"/>
            <w:tcBorders>
              <w:top w:val="nil"/>
              <w:left w:val="single" w:sz="4" w:space="0" w:color="auto"/>
              <w:bottom w:val="single" w:sz="4" w:space="0" w:color="auto"/>
              <w:right w:val="single" w:sz="4" w:space="0" w:color="auto"/>
            </w:tcBorders>
            <w:shd w:val="clear" w:color="auto" w:fill="auto"/>
            <w:hideMark/>
          </w:tcPr>
          <w:p w:rsidR="00FA00EA" w:rsidRPr="00FA00EA" w:rsidRDefault="00FA00EA" w:rsidP="00FA00EA">
            <w:pPr>
              <w:suppressAutoHyphens w:val="0"/>
              <w:jc w:val="right"/>
              <w:rPr>
                <w:sz w:val="20"/>
                <w:szCs w:val="20"/>
                <w:lang w:eastAsia="ru-RU"/>
              </w:rPr>
            </w:pPr>
            <w:r w:rsidRPr="00FA00EA">
              <w:rPr>
                <w:sz w:val="20"/>
                <w:szCs w:val="20"/>
                <w:lang w:eastAsia="ru-RU"/>
              </w:rPr>
              <w:t>51</w:t>
            </w:r>
          </w:p>
        </w:tc>
        <w:tc>
          <w:tcPr>
            <w:tcW w:w="1823" w:type="dxa"/>
            <w:tcBorders>
              <w:top w:val="nil"/>
              <w:left w:val="nil"/>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Цитрат натрия, 3-замещенный, 3,8%, 4х10мл, Н-11203</w:t>
            </w:r>
          </w:p>
        </w:tc>
        <w:tc>
          <w:tcPr>
            <w:tcW w:w="5645" w:type="dxa"/>
            <w:tcBorders>
              <w:top w:val="nil"/>
              <w:left w:val="single" w:sz="4" w:space="0" w:color="auto"/>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Цитрат натрия, 3-замещенный, конц.= 3,8 %, 4 фл по 10 мл</w:t>
            </w:r>
          </w:p>
        </w:tc>
        <w:tc>
          <w:tcPr>
            <w:tcW w:w="720" w:type="dxa"/>
            <w:tcBorders>
              <w:top w:val="nil"/>
              <w:left w:val="single" w:sz="4" w:space="0" w:color="auto"/>
              <w:bottom w:val="single" w:sz="4" w:space="0" w:color="auto"/>
              <w:right w:val="nil"/>
            </w:tcBorders>
            <w:shd w:val="clear" w:color="auto" w:fill="auto"/>
            <w:noWrap/>
            <w:hideMark/>
          </w:tcPr>
          <w:p w:rsidR="00FA00EA" w:rsidRPr="00FA00EA" w:rsidRDefault="00FA00EA" w:rsidP="00FA00EA">
            <w:pPr>
              <w:suppressAutoHyphens w:val="0"/>
              <w:jc w:val="right"/>
              <w:rPr>
                <w:sz w:val="20"/>
                <w:szCs w:val="20"/>
                <w:lang w:eastAsia="ru-RU"/>
              </w:rPr>
            </w:pPr>
            <w:r w:rsidRPr="00FA00EA">
              <w:rPr>
                <w:sz w:val="20"/>
                <w:szCs w:val="20"/>
                <w:lang w:eastAsia="ru-RU"/>
              </w:rPr>
              <w:t>3</w:t>
            </w:r>
          </w:p>
        </w:tc>
        <w:tc>
          <w:tcPr>
            <w:tcW w:w="599" w:type="dxa"/>
            <w:tcBorders>
              <w:top w:val="nil"/>
              <w:left w:val="single" w:sz="4" w:space="0" w:color="auto"/>
              <w:bottom w:val="single" w:sz="4" w:space="0" w:color="auto"/>
              <w:right w:val="single" w:sz="4" w:space="0" w:color="auto"/>
            </w:tcBorders>
            <w:shd w:val="clear" w:color="auto" w:fill="auto"/>
            <w:noWrap/>
            <w:hideMark/>
          </w:tcPr>
          <w:p w:rsidR="00FA00EA" w:rsidRPr="00FA00EA" w:rsidRDefault="00FA00EA" w:rsidP="00FA00EA">
            <w:pPr>
              <w:suppressAutoHyphens w:val="0"/>
              <w:jc w:val="center"/>
              <w:rPr>
                <w:sz w:val="22"/>
                <w:szCs w:val="22"/>
                <w:lang w:eastAsia="ru-RU"/>
              </w:rPr>
            </w:pPr>
            <w:r w:rsidRPr="00FA00EA">
              <w:rPr>
                <w:sz w:val="22"/>
                <w:szCs w:val="22"/>
                <w:lang w:eastAsia="ru-RU"/>
              </w:rPr>
              <w:t>уп.</w:t>
            </w:r>
          </w:p>
        </w:tc>
      </w:tr>
      <w:tr w:rsidR="00FA00EA" w:rsidRPr="00FA00EA" w:rsidTr="00FA00EA">
        <w:trPr>
          <w:trHeight w:val="3570"/>
        </w:trPr>
        <w:tc>
          <w:tcPr>
            <w:tcW w:w="460" w:type="dxa"/>
            <w:tcBorders>
              <w:top w:val="nil"/>
              <w:left w:val="single" w:sz="4" w:space="0" w:color="auto"/>
              <w:bottom w:val="single" w:sz="4" w:space="0" w:color="auto"/>
              <w:right w:val="single" w:sz="4" w:space="0" w:color="auto"/>
            </w:tcBorders>
            <w:shd w:val="clear" w:color="auto" w:fill="auto"/>
            <w:hideMark/>
          </w:tcPr>
          <w:p w:rsidR="00FA00EA" w:rsidRPr="00FA00EA" w:rsidRDefault="00FA00EA" w:rsidP="00FA00EA">
            <w:pPr>
              <w:suppressAutoHyphens w:val="0"/>
              <w:jc w:val="right"/>
              <w:rPr>
                <w:sz w:val="20"/>
                <w:szCs w:val="20"/>
                <w:lang w:eastAsia="ru-RU"/>
              </w:rPr>
            </w:pPr>
            <w:r w:rsidRPr="00FA00EA">
              <w:rPr>
                <w:sz w:val="20"/>
                <w:szCs w:val="20"/>
                <w:lang w:eastAsia="ru-RU"/>
              </w:rPr>
              <w:t>52</w:t>
            </w:r>
          </w:p>
        </w:tc>
        <w:tc>
          <w:tcPr>
            <w:tcW w:w="1823" w:type="dxa"/>
            <w:tcBorders>
              <w:top w:val="nil"/>
              <w:left w:val="nil"/>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Сульфохлорантин Д банка 1000 г</w:t>
            </w:r>
          </w:p>
        </w:tc>
        <w:tc>
          <w:tcPr>
            <w:tcW w:w="5645" w:type="dxa"/>
            <w:tcBorders>
              <w:top w:val="nil"/>
              <w:left w:val="single" w:sz="4" w:space="0" w:color="auto"/>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Представляет собой порошок белого цвета с умеренным запахом хлора. Содержит в своем составе в качестве действующего вещества 1,3-дихлор 5,5-диметилгидантоин (дихлорантин), кроме того, моющие и другие функциональные добавки. Содержание активного хлора - 14-16%. Растворимость в воде 25 г/л. Срок годности средства при условии хранения в невскрытой упаковке производителя составляет 3 года. Срок годности рабочих растворов - 14 суток при условии хранения в закрытой таре вдали от источников тепла и света. Дезинфекция поверхностей, жесткой мебели, сантехоборудования, белья, посуды, игрушек, предметов ухода за больными, ИМН, уборочного инвентаря, мокроты.</w:t>
            </w:r>
          </w:p>
        </w:tc>
        <w:tc>
          <w:tcPr>
            <w:tcW w:w="720" w:type="dxa"/>
            <w:tcBorders>
              <w:top w:val="nil"/>
              <w:left w:val="single" w:sz="4" w:space="0" w:color="auto"/>
              <w:bottom w:val="single" w:sz="4" w:space="0" w:color="auto"/>
              <w:right w:val="nil"/>
            </w:tcBorders>
            <w:shd w:val="clear" w:color="auto" w:fill="auto"/>
            <w:noWrap/>
            <w:hideMark/>
          </w:tcPr>
          <w:p w:rsidR="00FA00EA" w:rsidRPr="00FA00EA" w:rsidRDefault="00FA00EA" w:rsidP="00FA00EA">
            <w:pPr>
              <w:suppressAutoHyphens w:val="0"/>
              <w:jc w:val="right"/>
              <w:rPr>
                <w:sz w:val="20"/>
                <w:szCs w:val="20"/>
                <w:lang w:eastAsia="ru-RU"/>
              </w:rPr>
            </w:pPr>
            <w:r w:rsidRPr="00FA00EA">
              <w:rPr>
                <w:sz w:val="20"/>
                <w:szCs w:val="20"/>
                <w:lang w:eastAsia="ru-RU"/>
              </w:rPr>
              <w:t>8</w:t>
            </w:r>
          </w:p>
        </w:tc>
        <w:tc>
          <w:tcPr>
            <w:tcW w:w="599" w:type="dxa"/>
            <w:tcBorders>
              <w:top w:val="nil"/>
              <w:left w:val="single" w:sz="4" w:space="0" w:color="auto"/>
              <w:bottom w:val="single" w:sz="4" w:space="0" w:color="auto"/>
              <w:right w:val="single" w:sz="4" w:space="0" w:color="auto"/>
            </w:tcBorders>
            <w:shd w:val="clear" w:color="auto" w:fill="auto"/>
            <w:noWrap/>
            <w:hideMark/>
          </w:tcPr>
          <w:p w:rsidR="00FA00EA" w:rsidRPr="00FA00EA" w:rsidRDefault="00FA00EA" w:rsidP="00FA00EA">
            <w:pPr>
              <w:suppressAutoHyphens w:val="0"/>
              <w:jc w:val="center"/>
              <w:rPr>
                <w:sz w:val="22"/>
                <w:szCs w:val="22"/>
                <w:lang w:eastAsia="ru-RU"/>
              </w:rPr>
            </w:pPr>
            <w:r w:rsidRPr="00FA00EA">
              <w:rPr>
                <w:sz w:val="22"/>
                <w:szCs w:val="22"/>
                <w:lang w:eastAsia="ru-RU"/>
              </w:rPr>
              <w:t>бан.</w:t>
            </w:r>
          </w:p>
        </w:tc>
      </w:tr>
      <w:tr w:rsidR="00FA00EA" w:rsidRPr="00FA00EA" w:rsidTr="00FA00EA">
        <w:trPr>
          <w:trHeight w:val="765"/>
        </w:trPr>
        <w:tc>
          <w:tcPr>
            <w:tcW w:w="460" w:type="dxa"/>
            <w:tcBorders>
              <w:top w:val="nil"/>
              <w:left w:val="single" w:sz="4" w:space="0" w:color="auto"/>
              <w:bottom w:val="single" w:sz="4" w:space="0" w:color="auto"/>
              <w:right w:val="single" w:sz="4" w:space="0" w:color="auto"/>
            </w:tcBorders>
            <w:shd w:val="clear" w:color="auto" w:fill="auto"/>
            <w:hideMark/>
          </w:tcPr>
          <w:p w:rsidR="00FA00EA" w:rsidRPr="00FA00EA" w:rsidRDefault="00FA00EA" w:rsidP="00FA00EA">
            <w:pPr>
              <w:suppressAutoHyphens w:val="0"/>
              <w:jc w:val="right"/>
              <w:rPr>
                <w:sz w:val="20"/>
                <w:szCs w:val="20"/>
                <w:lang w:eastAsia="ru-RU"/>
              </w:rPr>
            </w:pPr>
            <w:r w:rsidRPr="00FA00EA">
              <w:rPr>
                <w:sz w:val="20"/>
                <w:szCs w:val="20"/>
                <w:lang w:eastAsia="ru-RU"/>
              </w:rPr>
              <w:t>53</w:t>
            </w:r>
          </w:p>
        </w:tc>
        <w:tc>
          <w:tcPr>
            <w:tcW w:w="1823" w:type="dxa"/>
            <w:tcBorders>
              <w:top w:val="nil"/>
              <w:left w:val="nil"/>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Салфетки марлевые стер. 5х5 см, 8-сл, 17-нитей, STERILUX ES (уп.10 шт) кат.186616</w:t>
            </w:r>
          </w:p>
        </w:tc>
        <w:tc>
          <w:tcPr>
            <w:tcW w:w="5645" w:type="dxa"/>
            <w:tcBorders>
              <w:top w:val="nil"/>
              <w:left w:val="single" w:sz="4" w:space="0" w:color="auto"/>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Салфетки марлевые стер. 5х5 см, 8-сл, 17-нитей</w:t>
            </w:r>
          </w:p>
        </w:tc>
        <w:tc>
          <w:tcPr>
            <w:tcW w:w="720" w:type="dxa"/>
            <w:tcBorders>
              <w:top w:val="nil"/>
              <w:left w:val="single" w:sz="4" w:space="0" w:color="auto"/>
              <w:bottom w:val="single" w:sz="4" w:space="0" w:color="auto"/>
              <w:right w:val="nil"/>
            </w:tcBorders>
            <w:shd w:val="clear" w:color="auto" w:fill="auto"/>
            <w:noWrap/>
            <w:hideMark/>
          </w:tcPr>
          <w:p w:rsidR="00FA00EA" w:rsidRPr="00FA00EA" w:rsidRDefault="00FA00EA" w:rsidP="00FA00EA">
            <w:pPr>
              <w:suppressAutoHyphens w:val="0"/>
              <w:jc w:val="right"/>
              <w:rPr>
                <w:sz w:val="20"/>
                <w:szCs w:val="20"/>
                <w:lang w:eastAsia="ru-RU"/>
              </w:rPr>
            </w:pPr>
            <w:r w:rsidRPr="00FA00EA">
              <w:rPr>
                <w:sz w:val="20"/>
                <w:szCs w:val="20"/>
                <w:lang w:eastAsia="ru-RU"/>
              </w:rPr>
              <w:t>200</w:t>
            </w:r>
          </w:p>
        </w:tc>
        <w:tc>
          <w:tcPr>
            <w:tcW w:w="599" w:type="dxa"/>
            <w:tcBorders>
              <w:top w:val="nil"/>
              <w:left w:val="single" w:sz="4" w:space="0" w:color="auto"/>
              <w:bottom w:val="single" w:sz="4" w:space="0" w:color="auto"/>
              <w:right w:val="single" w:sz="4" w:space="0" w:color="auto"/>
            </w:tcBorders>
            <w:shd w:val="clear" w:color="auto" w:fill="auto"/>
            <w:noWrap/>
            <w:hideMark/>
          </w:tcPr>
          <w:p w:rsidR="00FA00EA" w:rsidRPr="00FA00EA" w:rsidRDefault="00FA00EA" w:rsidP="00FA00EA">
            <w:pPr>
              <w:suppressAutoHyphens w:val="0"/>
              <w:jc w:val="center"/>
              <w:rPr>
                <w:sz w:val="22"/>
                <w:szCs w:val="22"/>
                <w:lang w:eastAsia="ru-RU"/>
              </w:rPr>
            </w:pPr>
            <w:r w:rsidRPr="00FA00EA">
              <w:rPr>
                <w:sz w:val="22"/>
                <w:szCs w:val="22"/>
                <w:lang w:eastAsia="ru-RU"/>
              </w:rPr>
              <w:t>уп.</w:t>
            </w:r>
          </w:p>
        </w:tc>
      </w:tr>
      <w:tr w:rsidR="00FA00EA" w:rsidRPr="00FA00EA" w:rsidTr="00FA00EA">
        <w:trPr>
          <w:trHeight w:val="1095"/>
        </w:trPr>
        <w:tc>
          <w:tcPr>
            <w:tcW w:w="460" w:type="dxa"/>
            <w:tcBorders>
              <w:top w:val="nil"/>
              <w:left w:val="single" w:sz="4" w:space="0" w:color="auto"/>
              <w:bottom w:val="single" w:sz="4" w:space="0" w:color="auto"/>
              <w:right w:val="single" w:sz="4" w:space="0" w:color="auto"/>
            </w:tcBorders>
            <w:shd w:val="clear" w:color="auto" w:fill="auto"/>
            <w:hideMark/>
          </w:tcPr>
          <w:p w:rsidR="00FA00EA" w:rsidRPr="00FA00EA" w:rsidRDefault="00FA00EA" w:rsidP="00FA00EA">
            <w:pPr>
              <w:suppressAutoHyphens w:val="0"/>
              <w:jc w:val="right"/>
              <w:rPr>
                <w:sz w:val="20"/>
                <w:szCs w:val="20"/>
                <w:lang w:eastAsia="ru-RU"/>
              </w:rPr>
            </w:pPr>
            <w:r w:rsidRPr="00FA00EA">
              <w:rPr>
                <w:sz w:val="20"/>
                <w:szCs w:val="20"/>
                <w:lang w:eastAsia="ru-RU"/>
              </w:rPr>
              <w:t>54</w:t>
            </w:r>
          </w:p>
        </w:tc>
        <w:tc>
          <w:tcPr>
            <w:tcW w:w="1823" w:type="dxa"/>
            <w:tcBorders>
              <w:top w:val="nil"/>
              <w:left w:val="nil"/>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Микропробирка типа Эппендорф, 1,5 мл, прокал.крышка, град, 500 шт/уп</w:t>
            </w:r>
          </w:p>
        </w:tc>
        <w:tc>
          <w:tcPr>
            <w:tcW w:w="5645" w:type="dxa"/>
            <w:tcBorders>
              <w:top w:val="nil"/>
              <w:left w:val="single" w:sz="4" w:space="0" w:color="auto"/>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микропробирка типа эппендорф бесцветн. 1,5 мл.  (уп. 500шт. Бесцветная, с плоской клапванной крышкой, градуированная.автоклавируются.</w:t>
            </w:r>
          </w:p>
        </w:tc>
        <w:tc>
          <w:tcPr>
            <w:tcW w:w="720" w:type="dxa"/>
            <w:tcBorders>
              <w:top w:val="nil"/>
              <w:left w:val="single" w:sz="4" w:space="0" w:color="auto"/>
              <w:bottom w:val="single" w:sz="4" w:space="0" w:color="auto"/>
              <w:right w:val="nil"/>
            </w:tcBorders>
            <w:shd w:val="clear" w:color="auto" w:fill="auto"/>
            <w:noWrap/>
            <w:hideMark/>
          </w:tcPr>
          <w:p w:rsidR="00FA00EA" w:rsidRPr="00FA00EA" w:rsidRDefault="00FA00EA" w:rsidP="00FA00EA">
            <w:pPr>
              <w:suppressAutoHyphens w:val="0"/>
              <w:jc w:val="right"/>
              <w:rPr>
                <w:sz w:val="20"/>
                <w:szCs w:val="20"/>
                <w:lang w:eastAsia="ru-RU"/>
              </w:rPr>
            </w:pPr>
            <w:r w:rsidRPr="00FA00EA">
              <w:rPr>
                <w:sz w:val="20"/>
                <w:szCs w:val="20"/>
                <w:lang w:eastAsia="ru-RU"/>
              </w:rPr>
              <w:t>10</w:t>
            </w:r>
          </w:p>
        </w:tc>
        <w:tc>
          <w:tcPr>
            <w:tcW w:w="599" w:type="dxa"/>
            <w:tcBorders>
              <w:top w:val="nil"/>
              <w:left w:val="single" w:sz="4" w:space="0" w:color="auto"/>
              <w:bottom w:val="single" w:sz="4" w:space="0" w:color="auto"/>
              <w:right w:val="single" w:sz="4" w:space="0" w:color="auto"/>
            </w:tcBorders>
            <w:shd w:val="clear" w:color="auto" w:fill="auto"/>
            <w:noWrap/>
            <w:hideMark/>
          </w:tcPr>
          <w:p w:rsidR="00FA00EA" w:rsidRPr="00FA00EA" w:rsidRDefault="00FA00EA" w:rsidP="00FA00EA">
            <w:pPr>
              <w:suppressAutoHyphens w:val="0"/>
              <w:jc w:val="center"/>
              <w:rPr>
                <w:sz w:val="22"/>
                <w:szCs w:val="22"/>
                <w:lang w:eastAsia="ru-RU"/>
              </w:rPr>
            </w:pPr>
            <w:r w:rsidRPr="00FA00EA">
              <w:rPr>
                <w:sz w:val="22"/>
                <w:szCs w:val="22"/>
                <w:lang w:eastAsia="ru-RU"/>
              </w:rPr>
              <w:t>уп.</w:t>
            </w:r>
          </w:p>
        </w:tc>
      </w:tr>
      <w:tr w:rsidR="00FA00EA" w:rsidRPr="00FA00EA" w:rsidTr="00FA00EA">
        <w:trPr>
          <w:trHeight w:val="1800"/>
        </w:trPr>
        <w:tc>
          <w:tcPr>
            <w:tcW w:w="460" w:type="dxa"/>
            <w:tcBorders>
              <w:top w:val="nil"/>
              <w:left w:val="single" w:sz="4" w:space="0" w:color="auto"/>
              <w:bottom w:val="single" w:sz="4" w:space="0" w:color="auto"/>
              <w:right w:val="single" w:sz="4" w:space="0" w:color="auto"/>
            </w:tcBorders>
            <w:shd w:val="clear" w:color="auto" w:fill="auto"/>
            <w:hideMark/>
          </w:tcPr>
          <w:p w:rsidR="00FA00EA" w:rsidRPr="00FA00EA" w:rsidRDefault="00FA00EA" w:rsidP="00FA00EA">
            <w:pPr>
              <w:suppressAutoHyphens w:val="0"/>
              <w:jc w:val="right"/>
              <w:rPr>
                <w:sz w:val="20"/>
                <w:szCs w:val="20"/>
                <w:lang w:eastAsia="ru-RU"/>
              </w:rPr>
            </w:pPr>
            <w:r w:rsidRPr="00FA00EA">
              <w:rPr>
                <w:sz w:val="20"/>
                <w:szCs w:val="20"/>
                <w:lang w:eastAsia="ru-RU"/>
              </w:rPr>
              <w:t>55</w:t>
            </w:r>
          </w:p>
        </w:tc>
        <w:tc>
          <w:tcPr>
            <w:tcW w:w="1823" w:type="dxa"/>
            <w:tcBorders>
              <w:top w:val="nil"/>
              <w:left w:val="nil"/>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Спинтрол "Н" кат. 1002120 нормальная контрольная сыворотка</w:t>
            </w:r>
          </w:p>
        </w:tc>
        <w:tc>
          <w:tcPr>
            <w:tcW w:w="5645" w:type="dxa"/>
            <w:tcBorders>
              <w:top w:val="nil"/>
              <w:left w:val="single" w:sz="4" w:space="0" w:color="auto"/>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 </w:t>
            </w:r>
          </w:p>
        </w:tc>
        <w:tc>
          <w:tcPr>
            <w:tcW w:w="720" w:type="dxa"/>
            <w:tcBorders>
              <w:top w:val="nil"/>
              <w:left w:val="single" w:sz="4" w:space="0" w:color="auto"/>
              <w:bottom w:val="single" w:sz="4" w:space="0" w:color="auto"/>
              <w:right w:val="nil"/>
            </w:tcBorders>
            <w:shd w:val="clear" w:color="auto" w:fill="auto"/>
            <w:noWrap/>
            <w:hideMark/>
          </w:tcPr>
          <w:p w:rsidR="00FA00EA" w:rsidRPr="00FA00EA" w:rsidRDefault="00FA00EA" w:rsidP="00FA00EA">
            <w:pPr>
              <w:suppressAutoHyphens w:val="0"/>
              <w:jc w:val="right"/>
              <w:rPr>
                <w:sz w:val="20"/>
                <w:szCs w:val="20"/>
                <w:lang w:eastAsia="ru-RU"/>
              </w:rPr>
            </w:pPr>
            <w:r w:rsidRPr="00FA00EA">
              <w:rPr>
                <w:sz w:val="20"/>
                <w:szCs w:val="20"/>
                <w:lang w:eastAsia="ru-RU"/>
              </w:rPr>
              <w:t>1</w:t>
            </w:r>
          </w:p>
        </w:tc>
        <w:tc>
          <w:tcPr>
            <w:tcW w:w="599" w:type="dxa"/>
            <w:tcBorders>
              <w:top w:val="nil"/>
              <w:left w:val="single" w:sz="4" w:space="0" w:color="auto"/>
              <w:bottom w:val="single" w:sz="4" w:space="0" w:color="auto"/>
              <w:right w:val="single" w:sz="4" w:space="0" w:color="auto"/>
            </w:tcBorders>
            <w:shd w:val="clear" w:color="auto" w:fill="auto"/>
            <w:noWrap/>
            <w:hideMark/>
          </w:tcPr>
          <w:p w:rsidR="00FA00EA" w:rsidRPr="00FA00EA" w:rsidRDefault="00FA00EA" w:rsidP="00FA00EA">
            <w:pPr>
              <w:suppressAutoHyphens w:val="0"/>
              <w:jc w:val="center"/>
              <w:rPr>
                <w:sz w:val="22"/>
                <w:szCs w:val="22"/>
                <w:lang w:eastAsia="ru-RU"/>
              </w:rPr>
            </w:pPr>
            <w:r w:rsidRPr="00FA00EA">
              <w:rPr>
                <w:sz w:val="22"/>
                <w:szCs w:val="22"/>
                <w:lang w:eastAsia="ru-RU"/>
              </w:rPr>
              <w:t>уп.</w:t>
            </w:r>
          </w:p>
        </w:tc>
      </w:tr>
      <w:tr w:rsidR="00FA00EA" w:rsidRPr="00FA00EA" w:rsidTr="00FA00EA">
        <w:trPr>
          <w:trHeight w:val="840"/>
        </w:trPr>
        <w:tc>
          <w:tcPr>
            <w:tcW w:w="460" w:type="dxa"/>
            <w:tcBorders>
              <w:top w:val="nil"/>
              <w:left w:val="single" w:sz="4" w:space="0" w:color="auto"/>
              <w:bottom w:val="single" w:sz="4" w:space="0" w:color="auto"/>
              <w:right w:val="single" w:sz="4" w:space="0" w:color="auto"/>
            </w:tcBorders>
            <w:shd w:val="clear" w:color="auto" w:fill="auto"/>
            <w:hideMark/>
          </w:tcPr>
          <w:p w:rsidR="00FA00EA" w:rsidRPr="00FA00EA" w:rsidRDefault="00FA00EA" w:rsidP="00FA00EA">
            <w:pPr>
              <w:suppressAutoHyphens w:val="0"/>
              <w:jc w:val="right"/>
              <w:rPr>
                <w:sz w:val="20"/>
                <w:szCs w:val="20"/>
                <w:lang w:eastAsia="ru-RU"/>
              </w:rPr>
            </w:pPr>
            <w:r w:rsidRPr="00FA00EA">
              <w:rPr>
                <w:sz w:val="20"/>
                <w:szCs w:val="20"/>
                <w:lang w:eastAsia="ru-RU"/>
              </w:rPr>
              <w:lastRenderedPageBreak/>
              <w:t>56</w:t>
            </w:r>
          </w:p>
        </w:tc>
        <w:tc>
          <w:tcPr>
            <w:tcW w:w="1823" w:type="dxa"/>
            <w:tcBorders>
              <w:top w:val="nil"/>
              <w:left w:val="nil"/>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Спинтрол "Н" кат. 1002210 патологическая контрольная сыворотка</w:t>
            </w:r>
          </w:p>
        </w:tc>
        <w:tc>
          <w:tcPr>
            <w:tcW w:w="5645" w:type="dxa"/>
            <w:tcBorders>
              <w:top w:val="nil"/>
              <w:left w:val="single" w:sz="4" w:space="0" w:color="auto"/>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 xml:space="preserve"> </w:t>
            </w:r>
          </w:p>
        </w:tc>
        <w:tc>
          <w:tcPr>
            <w:tcW w:w="720" w:type="dxa"/>
            <w:tcBorders>
              <w:top w:val="nil"/>
              <w:left w:val="single" w:sz="4" w:space="0" w:color="auto"/>
              <w:bottom w:val="single" w:sz="4" w:space="0" w:color="auto"/>
              <w:right w:val="nil"/>
            </w:tcBorders>
            <w:shd w:val="clear" w:color="auto" w:fill="auto"/>
            <w:noWrap/>
            <w:hideMark/>
          </w:tcPr>
          <w:p w:rsidR="00FA00EA" w:rsidRPr="00FA00EA" w:rsidRDefault="00FA00EA" w:rsidP="00FA00EA">
            <w:pPr>
              <w:suppressAutoHyphens w:val="0"/>
              <w:jc w:val="right"/>
              <w:rPr>
                <w:sz w:val="20"/>
                <w:szCs w:val="20"/>
                <w:lang w:eastAsia="ru-RU"/>
              </w:rPr>
            </w:pPr>
            <w:r w:rsidRPr="00FA00EA">
              <w:rPr>
                <w:sz w:val="20"/>
                <w:szCs w:val="20"/>
                <w:lang w:eastAsia="ru-RU"/>
              </w:rPr>
              <w:t>1</w:t>
            </w:r>
          </w:p>
        </w:tc>
        <w:tc>
          <w:tcPr>
            <w:tcW w:w="599" w:type="dxa"/>
            <w:tcBorders>
              <w:top w:val="nil"/>
              <w:left w:val="single" w:sz="4" w:space="0" w:color="auto"/>
              <w:bottom w:val="single" w:sz="4" w:space="0" w:color="auto"/>
              <w:right w:val="single" w:sz="4" w:space="0" w:color="auto"/>
            </w:tcBorders>
            <w:shd w:val="clear" w:color="auto" w:fill="auto"/>
            <w:noWrap/>
            <w:hideMark/>
          </w:tcPr>
          <w:p w:rsidR="00FA00EA" w:rsidRPr="00FA00EA" w:rsidRDefault="00FA00EA" w:rsidP="00FA00EA">
            <w:pPr>
              <w:suppressAutoHyphens w:val="0"/>
              <w:jc w:val="center"/>
              <w:rPr>
                <w:sz w:val="22"/>
                <w:szCs w:val="22"/>
                <w:lang w:eastAsia="ru-RU"/>
              </w:rPr>
            </w:pPr>
            <w:r w:rsidRPr="00FA00EA">
              <w:rPr>
                <w:sz w:val="22"/>
                <w:szCs w:val="22"/>
                <w:lang w:eastAsia="ru-RU"/>
              </w:rPr>
              <w:t>уп.</w:t>
            </w:r>
          </w:p>
        </w:tc>
      </w:tr>
      <w:tr w:rsidR="00FA00EA" w:rsidRPr="00FA00EA" w:rsidTr="00FA00EA">
        <w:trPr>
          <w:trHeight w:val="780"/>
        </w:trPr>
        <w:tc>
          <w:tcPr>
            <w:tcW w:w="460" w:type="dxa"/>
            <w:tcBorders>
              <w:top w:val="nil"/>
              <w:left w:val="single" w:sz="4" w:space="0" w:color="auto"/>
              <w:bottom w:val="single" w:sz="4" w:space="0" w:color="auto"/>
              <w:right w:val="single" w:sz="4" w:space="0" w:color="auto"/>
            </w:tcBorders>
            <w:shd w:val="clear" w:color="auto" w:fill="auto"/>
            <w:hideMark/>
          </w:tcPr>
          <w:p w:rsidR="00FA00EA" w:rsidRPr="00FA00EA" w:rsidRDefault="00FA00EA" w:rsidP="00FA00EA">
            <w:pPr>
              <w:suppressAutoHyphens w:val="0"/>
              <w:jc w:val="right"/>
              <w:rPr>
                <w:sz w:val="20"/>
                <w:szCs w:val="20"/>
                <w:lang w:eastAsia="ru-RU"/>
              </w:rPr>
            </w:pPr>
            <w:r w:rsidRPr="00FA00EA">
              <w:rPr>
                <w:sz w:val="20"/>
                <w:szCs w:val="20"/>
                <w:lang w:eastAsia="ru-RU"/>
              </w:rPr>
              <w:t>57</w:t>
            </w:r>
          </w:p>
        </w:tc>
        <w:tc>
          <w:tcPr>
            <w:tcW w:w="1823" w:type="dxa"/>
            <w:tcBorders>
              <w:top w:val="nil"/>
              <w:left w:val="nil"/>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Спинтрол калибратор кат.1002010</w:t>
            </w:r>
          </w:p>
        </w:tc>
        <w:tc>
          <w:tcPr>
            <w:tcW w:w="5645" w:type="dxa"/>
            <w:tcBorders>
              <w:top w:val="nil"/>
              <w:left w:val="single" w:sz="4" w:space="0" w:color="auto"/>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 xml:space="preserve"> </w:t>
            </w:r>
          </w:p>
        </w:tc>
        <w:tc>
          <w:tcPr>
            <w:tcW w:w="720" w:type="dxa"/>
            <w:tcBorders>
              <w:top w:val="nil"/>
              <w:left w:val="single" w:sz="4" w:space="0" w:color="auto"/>
              <w:bottom w:val="single" w:sz="4" w:space="0" w:color="auto"/>
              <w:right w:val="nil"/>
            </w:tcBorders>
            <w:shd w:val="clear" w:color="auto" w:fill="auto"/>
            <w:noWrap/>
            <w:hideMark/>
          </w:tcPr>
          <w:p w:rsidR="00FA00EA" w:rsidRPr="00FA00EA" w:rsidRDefault="00FA00EA" w:rsidP="00FA00EA">
            <w:pPr>
              <w:suppressAutoHyphens w:val="0"/>
              <w:jc w:val="right"/>
              <w:rPr>
                <w:sz w:val="20"/>
                <w:szCs w:val="20"/>
                <w:lang w:eastAsia="ru-RU"/>
              </w:rPr>
            </w:pPr>
            <w:r w:rsidRPr="00FA00EA">
              <w:rPr>
                <w:sz w:val="20"/>
                <w:szCs w:val="20"/>
                <w:lang w:eastAsia="ru-RU"/>
              </w:rPr>
              <w:t>1</w:t>
            </w:r>
          </w:p>
        </w:tc>
        <w:tc>
          <w:tcPr>
            <w:tcW w:w="599" w:type="dxa"/>
            <w:tcBorders>
              <w:top w:val="nil"/>
              <w:left w:val="single" w:sz="4" w:space="0" w:color="auto"/>
              <w:bottom w:val="single" w:sz="4" w:space="0" w:color="auto"/>
              <w:right w:val="single" w:sz="4" w:space="0" w:color="auto"/>
            </w:tcBorders>
            <w:shd w:val="clear" w:color="auto" w:fill="auto"/>
            <w:noWrap/>
            <w:hideMark/>
          </w:tcPr>
          <w:p w:rsidR="00FA00EA" w:rsidRPr="00FA00EA" w:rsidRDefault="00FA00EA" w:rsidP="00FA00EA">
            <w:pPr>
              <w:suppressAutoHyphens w:val="0"/>
              <w:jc w:val="center"/>
              <w:rPr>
                <w:sz w:val="22"/>
                <w:szCs w:val="22"/>
                <w:lang w:eastAsia="ru-RU"/>
              </w:rPr>
            </w:pPr>
            <w:r w:rsidRPr="00FA00EA">
              <w:rPr>
                <w:sz w:val="22"/>
                <w:szCs w:val="22"/>
                <w:lang w:eastAsia="ru-RU"/>
              </w:rPr>
              <w:t>уп.</w:t>
            </w:r>
          </w:p>
        </w:tc>
      </w:tr>
      <w:tr w:rsidR="00FA00EA" w:rsidRPr="00FA00EA" w:rsidTr="00FA00EA">
        <w:trPr>
          <w:trHeight w:val="1740"/>
        </w:trPr>
        <w:tc>
          <w:tcPr>
            <w:tcW w:w="460" w:type="dxa"/>
            <w:tcBorders>
              <w:top w:val="nil"/>
              <w:left w:val="single" w:sz="4" w:space="0" w:color="auto"/>
              <w:bottom w:val="single" w:sz="4" w:space="0" w:color="auto"/>
              <w:right w:val="single" w:sz="4" w:space="0" w:color="auto"/>
            </w:tcBorders>
            <w:shd w:val="clear" w:color="auto" w:fill="auto"/>
            <w:hideMark/>
          </w:tcPr>
          <w:p w:rsidR="00FA00EA" w:rsidRPr="00FA00EA" w:rsidRDefault="00FA00EA" w:rsidP="00FA00EA">
            <w:pPr>
              <w:suppressAutoHyphens w:val="0"/>
              <w:jc w:val="right"/>
              <w:rPr>
                <w:sz w:val="20"/>
                <w:szCs w:val="20"/>
                <w:lang w:eastAsia="ru-RU"/>
              </w:rPr>
            </w:pPr>
            <w:r w:rsidRPr="00FA00EA">
              <w:rPr>
                <w:sz w:val="20"/>
                <w:szCs w:val="20"/>
                <w:lang w:eastAsia="ru-RU"/>
              </w:rPr>
              <w:t>58</w:t>
            </w:r>
          </w:p>
        </w:tc>
        <w:tc>
          <w:tcPr>
            <w:tcW w:w="1823" w:type="dxa"/>
            <w:tcBorders>
              <w:top w:val="nil"/>
              <w:left w:val="nil"/>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Наконечник 0,5-250 мкл (1000 шт в уп) универсальный Thermo кат.№9400302</w:t>
            </w:r>
          </w:p>
        </w:tc>
        <w:tc>
          <w:tcPr>
            <w:tcW w:w="5645" w:type="dxa"/>
            <w:tcBorders>
              <w:top w:val="nil"/>
              <w:left w:val="single" w:sz="4" w:space="0" w:color="auto"/>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Универсальные автоклавируемые наконечники предназначены для дозирования жидкостей при помощи механических и электронных дозаторов, без фильтра, нестерильные бесцв., длина 52 мм. Диапазон дозирования: от 0,5 до 250 мкл. Полностью автоклавируются. Первичный химически чистый полипропилен. Наконечники не содержат красителей. Наконечники упакованы в полиэтиленовый запаянный пакет (1000 шт/уп)</w:t>
            </w:r>
          </w:p>
        </w:tc>
        <w:tc>
          <w:tcPr>
            <w:tcW w:w="720" w:type="dxa"/>
            <w:tcBorders>
              <w:top w:val="nil"/>
              <w:left w:val="single" w:sz="4" w:space="0" w:color="auto"/>
              <w:bottom w:val="single" w:sz="4" w:space="0" w:color="auto"/>
              <w:right w:val="nil"/>
            </w:tcBorders>
            <w:shd w:val="clear" w:color="auto" w:fill="auto"/>
            <w:noWrap/>
            <w:hideMark/>
          </w:tcPr>
          <w:p w:rsidR="00FA00EA" w:rsidRPr="00FA00EA" w:rsidRDefault="00FA00EA" w:rsidP="00FA00EA">
            <w:pPr>
              <w:suppressAutoHyphens w:val="0"/>
              <w:jc w:val="right"/>
              <w:rPr>
                <w:sz w:val="20"/>
                <w:szCs w:val="20"/>
                <w:lang w:eastAsia="ru-RU"/>
              </w:rPr>
            </w:pPr>
            <w:r w:rsidRPr="00FA00EA">
              <w:rPr>
                <w:sz w:val="20"/>
                <w:szCs w:val="20"/>
                <w:lang w:eastAsia="ru-RU"/>
              </w:rPr>
              <w:t>8</w:t>
            </w:r>
          </w:p>
        </w:tc>
        <w:tc>
          <w:tcPr>
            <w:tcW w:w="599" w:type="dxa"/>
            <w:tcBorders>
              <w:top w:val="nil"/>
              <w:left w:val="single" w:sz="4" w:space="0" w:color="auto"/>
              <w:bottom w:val="single" w:sz="4" w:space="0" w:color="auto"/>
              <w:right w:val="single" w:sz="4" w:space="0" w:color="auto"/>
            </w:tcBorders>
            <w:shd w:val="clear" w:color="auto" w:fill="auto"/>
            <w:noWrap/>
            <w:hideMark/>
          </w:tcPr>
          <w:p w:rsidR="00FA00EA" w:rsidRPr="00FA00EA" w:rsidRDefault="00FA00EA" w:rsidP="00FA00EA">
            <w:pPr>
              <w:suppressAutoHyphens w:val="0"/>
              <w:jc w:val="center"/>
              <w:rPr>
                <w:sz w:val="22"/>
                <w:szCs w:val="22"/>
                <w:lang w:eastAsia="ru-RU"/>
              </w:rPr>
            </w:pPr>
            <w:r w:rsidRPr="00FA00EA">
              <w:rPr>
                <w:sz w:val="22"/>
                <w:szCs w:val="22"/>
                <w:lang w:eastAsia="ru-RU"/>
              </w:rPr>
              <w:t>уп.</w:t>
            </w:r>
          </w:p>
        </w:tc>
      </w:tr>
      <w:tr w:rsidR="00FA00EA" w:rsidRPr="00FA00EA" w:rsidTr="00FA00EA">
        <w:trPr>
          <w:trHeight w:val="1845"/>
        </w:trPr>
        <w:tc>
          <w:tcPr>
            <w:tcW w:w="460" w:type="dxa"/>
            <w:tcBorders>
              <w:top w:val="nil"/>
              <w:left w:val="single" w:sz="4" w:space="0" w:color="auto"/>
              <w:bottom w:val="single" w:sz="4" w:space="0" w:color="auto"/>
              <w:right w:val="single" w:sz="4" w:space="0" w:color="auto"/>
            </w:tcBorders>
            <w:shd w:val="clear" w:color="auto" w:fill="auto"/>
            <w:hideMark/>
          </w:tcPr>
          <w:p w:rsidR="00FA00EA" w:rsidRPr="00FA00EA" w:rsidRDefault="00FA00EA" w:rsidP="00FA00EA">
            <w:pPr>
              <w:suppressAutoHyphens w:val="0"/>
              <w:jc w:val="right"/>
              <w:rPr>
                <w:sz w:val="20"/>
                <w:szCs w:val="20"/>
                <w:lang w:eastAsia="ru-RU"/>
              </w:rPr>
            </w:pPr>
            <w:r w:rsidRPr="00FA00EA">
              <w:rPr>
                <w:sz w:val="20"/>
                <w:szCs w:val="20"/>
                <w:lang w:eastAsia="ru-RU"/>
              </w:rPr>
              <w:t>59</w:t>
            </w:r>
          </w:p>
        </w:tc>
        <w:tc>
          <w:tcPr>
            <w:tcW w:w="1823" w:type="dxa"/>
            <w:tcBorders>
              <w:top w:val="nil"/>
              <w:left w:val="nil"/>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Наконечник 100 -1000 мкл (1000 шт в уп) Thermo кат. №9401032</w:t>
            </w:r>
          </w:p>
        </w:tc>
        <w:tc>
          <w:tcPr>
            <w:tcW w:w="5645" w:type="dxa"/>
            <w:tcBorders>
              <w:top w:val="nil"/>
              <w:left w:val="single" w:sz="4" w:space="0" w:color="auto"/>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Универсальные автоклавируемые наконечники предназначены для дозирования жидкостей при помощи механических и электронных дозаторов, без фильтра,  нестерильные. Диапазон дозирования: от 100 до 1000 мкл. Полностью автоклавируются. Материал: Первичный химически чистый полипропилен. Наконечники не содержат красителей. Наконечники упакованы в полиэтиленовый запаянный пакет (1000 шт/уп)</w:t>
            </w:r>
          </w:p>
        </w:tc>
        <w:tc>
          <w:tcPr>
            <w:tcW w:w="720" w:type="dxa"/>
            <w:tcBorders>
              <w:top w:val="nil"/>
              <w:left w:val="single" w:sz="4" w:space="0" w:color="auto"/>
              <w:bottom w:val="single" w:sz="4" w:space="0" w:color="auto"/>
              <w:right w:val="nil"/>
            </w:tcBorders>
            <w:shd w:val="clear" w:color="auto" w:fill="auto"/>
            <w:noWrap/>
            <w:hideMark/>
          </w:tcPr>
          <w:p w:rsidR="00FA00EA" w:rsidRPr="00FA00EA" w:rsidRDefault="00FA00EA" w:rsidP="00FA00EA">
            <w:pPr>
              <w:suppressAutoHyphens w:val="0"/>
              <w:jc w:val="right"/>
              <w:rPr>
                <w:sz w:val="20"/>
                <w:szCs w:val="20"/>
                <w:lang w:eastAsia="ru-RU"/>
              </w:rPr>
            </w:pPr>
            <w:r w:rsidRPr="00FA00EA">
              <w:rPr>
                <w:sz w:val="20"/>
                <w:szCs w:val="20"/>
                <w:lang w:eastAsia="ru-RU"/>
              </w:rPr>
              <w:t>6</w:t>
            </w:r>
          </w:p>
        </w:tc>
        <w:tc>
          <w:tcPr>
            <w:tcW w:w="599" w:type="dxa"/>
            <w:tcBorders>
              <w:top w:val="nil"/>
              <w:left w:val="single" w:sz="4" w:space="0" w:color="auto"/>
              <w:bottom w:val="single" w:sz="4" w:space="0" w:color="auto"/>
              <w:right w:val="single" w:sz="4" w:space="0" w:color="auto"/>
            </w:tcBorders>
            <w:shd w:val="clear" w:color="auto" w:fill="auto"/>
            <w:noWrap/>
            <w:hideMark/>
          </w:tcPr>
          <w:p w:rsidR="00FA00EA" w:rsidRPr="00FA00EA" w:rsidRDefault="00FA00EA" w:rsidP="00FA00EA">
            <w:pPr>
              <w:suppressAutoHyphens w:val="0"/>
              <w:jc w:val="center"/>
              <w:rPr>
                <w:sz w:val="22"/>
                <w:szCs w:val="22"/>
                <w:lang w:eastAsia="ru-RU"/>
              </w:rPr>
            </w:pPr>
            <w:r w:rsidRPr="00FA00EA">
              <w:rPr>
                <w:sz w:val="22"/>
                <w:szCs w:val="22"/>
                <w:lang w:eastAsia="ru-RU"/>
              </w:rPr>
              <w:t>уп.</w:t>
            </w:r>
          </w:p>
        </w:tc>
      </w:tr>
      <w:tr w:rsidR="00FA00EA" w:rsidRPr="00FA00EA" w:rsidTr="00FA00EA">
        <w:trPr>
          <w:trHeight w:val="5880"/>
        </w:trPr>
        <w:tc>
          <w:tcPr>
            <w:tcW w:w="460" w:type="dxa"/>
            <w:tcBorders>
              <w:top w:val="nil"/>
              <w:left w:val="single" w:sz="4" w:space="0" w:color="auto"/>
              <w:bottom w:val="single" w:sz="4" w:space="0" w:color="auto"/>
              <w:right w:val="single" w:sz="4" w:space="0" w:color="auto"/>
            </w:tcBorders>
            <w:shd w:val="clear" w:color="auto" w:fill="auto"/>
            <w:hideMark/>
          </w:tcPr>
          <w:p w:rsidR="00FA00EA" w:rsidRPr="00FA00EA" w:rsidRDefault="00FA00EA" w:rsidP="00FA00EA">
            <w:pPr>
              <w:suppressAutoHyphens w:val="0"/>
              <w:jc w:val="right"/>
              <w:rPr>
                <w:sz w:val="20"/>
                <w:szCs w:val="20"/>
                <w:lang w:eastAsia="ru-RU"/>
              </w:rPr>
            </w:pPr>
            <w:r w:rsidRPr="00FA00EA">
              <w:rPr>
                <w:sz w:val="20"/>
                <w:szCs w:val="20"/>
                <w:lang w:eastAsia="ru-RU"/>
              </w:rPr>
              <w:t>60</w:t>
            </w:r>
          </w:p>
        </w:tc>
        <w:tc>
          <w:tcPr>
            <w:tcW w:w="1823" w:type="dxa"/>
            <w:tcBorders>
              <w:top w:val="nil"/>
              <w:left w:val="nil"/>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Антиген кардиолипиновый РМП Сифилис-АгКЛ-РМП компл. №2/2 500 анализов  03.07.1</w:t>
            </w:r>
          </w:p>
        </w:tc>
        <w:tc>
          <w:tcPr>
            <w:tcW w:w="5645" w:type="dxa"/>
            <w:tcBorders>
              <w:top w:val="nil"/>
              <w:left w:val="single" w:sz="4" w:space="0" w:color="auto"/>
              <w:bottom w:val="single" w:sz="4" w:space="0" w:color="auto"/>
              <w:right w:val="nil"/>
            </w:tcBorders>
            <w:shd w:val="clear" w:color="auto" w:fill="auto"/>
            <w:hideMark/>
          </w:tcPr>
          <w:p w:rsidR="00FA00EA" w:rsidRPr="00FA00EA" w:rsidRDefault="00FA00EA" w:rsidP="00FA00EA">
            <w:pPr>
              <w:suppressAutoHyphens w:val="0"/>
              <w:rPr>
                <w:sz w:val="20"/>
                <w:szCs w:val="20"/>
                <w:lang w:eastAsia="ru-RU"/>
              </w:rPr>
            </w:pPr>
            <w:r w:rsidRPr="00FA00EA">
              <w:rPr>
                <w:sz w:val="20"/>
                <w:szCs w:val="20"/>
                <w:lang w:eastAsia="ru-RU"/>
              </w:rPr>
              <w:t>Набор применяется при диагностике сифилиса для исследования плазмы (сыворотки) крови или спинно-мозговой жидкости (СМЖ) человека в реакции микропреципитации (РМП).</w:t>
            </w:r>
            <w:r w:rsidRPr="00FA00EA">
              <w:rPr>
                <w:sz w:val="20"/>
                <w:szCs w:val="20"/>
                <w:lang w:eastAsia="ru-RU"/>
              </w:rPr>
              <w:br/>
              <w:t xml:space="preserve">В состав набора входит </w:t>
            </w:r>
            <w:r w:rsidRPr="00FA00EA">
              <w:rPr>
                <w:sz w:val="20"/>
                <w:szCs w:val="20"/>
                <w:lang w:eastAsia="ru-RU"/>
              </w:rPr>
              <w:br/>
              <w:t>- взвесь АгКЛ в 10 % растворе холин-хлорида.</w:t>
            </w:r>
            <w:r w:rsidRPr="00FA00EA">
              <w:rPr>
                <w:sz w:val="20"/>
                <w:szCs w:val="20"/>
                <w:lang w:eastAsia="ru-RU"/>
              </w:rPr>
              <w:br/>
              <w:t>Реагенты, готовые к использованию: АгКЛ-РМП.</w:t>
            </w:r>
            <w:r w:rsidRPr="00FA00EA">
              <w:rPr>
                <w:sz w:val="20"/>
                <w:szCs w:val="20"/>
                <w:lang w:eastAsia="ru-RU"/>
              </w:rPr>
              <w:br/>
              <w:t>Набор рассчитан на исследование 500 образцов.</w:t>
            </w:r>
            <w:r w:rsidRPr="00FA00EA">
              <w:rPr>
                <w:sz w:val="20"/>
                <w:szCs w:val="20"/>
                <w:lang w:eastAsia="ru-RU"/>
              </w:rPr>
              <w:br/>
              <w:t xml:space="preserve">Фасовка - 3 флакона х 5 мл. </w:t>
            </w:r>
            <w:r w:rsidRPr="00FA00EA">
              <w:rPr>
                <w:sz w:val="20"/>
                <w:szCs w:val="20"/>
                <w:lang w:eastAsia="ru-RU"/>
              </w:rPr>
              <w:br/>
              <w:t>Объем  исследуемого образца 90 мкл.</w:t>
            </w:r>
            <w:r w:rsidRPr="00FA00EA">
              <w:rPr>
                <w:sz w:val="20"/>
                <w:szCs w:val="20"/>
                <w:lang w:eastAsia="ru-RU"/>
              </w:rPr>
              <w:br/>
              <w:t>Суммарное время постановки реакции 8 минут. Оптимальный температурныйрежим реакции  23-28 0С</w:t>
            </w:r>
            <w:r w:rsidRPr="00FA00EA">
              <w:rPr>
                <w:sz w:val="20"/>
                <w:szCs w:val="20"/>
                <w:lang w:eastAsia="ru-RU"/>
              </w:rPr>
              <w:br/>
              <w:t>Предназначен для качественного и полуколичественного определения.</w:t>
            </w:r>
            <w:r w:rsidRPr="00FA00EA">
              <w:rPr>
                <w:sz w:val="20"/>
                <w:szCs w:val="20"/>
                <w:lang w:eastAsia="ru-RU"/>
              </w:rPr>
              <w:br/>
              <w:t>Срок годности - 18 месяцев.</w:t>
            </w:r>
            <w:r w:rsidRPr="00FA00EA">
              <w:rPr>
                <w:sz w:val="20"/>
                <w:szCs w:val="20"/>
                <w:lang w:eastAsia="ru-RU"/>
              </w:rPr>
              <w:br/>
              <w:t>Срок хранения реагентов набора  после вскрытия упаковки:  до конца срока годности.</w:t>
            </w:r>
            <w:r w:rsidRPr="00FA00EA">
              <w:rPr>
                <w:sz w:val="20"/>
                <w:szCs w:val="20"/>
                <w:lang w:eastAsia="ru-RU"/>
              </w:rPr>
              <w:br/>
              <w:t xml:space="preserve">Возможность документирования, регистрации и автоматического учета при проведении анализа на аппаратно-программном комплексе «Экспетр-Лаб РМП». </w:t>
            </w:r>
            <w:r w:rsidRPr="00FA00EA">
              <w:rPr>
                <w:sz w:val="20"/>
                <w:szCs w:val="20"/>
                <w:lang w:eastAsia="ru-RU"/>
              </w:rPr>
              <w:br/>
              <w:t>Набор должен храниться в упаковке предприятия-изготовителя при температуре от 2 до 8 оС. Замораживание не допускается. Набор транспортируют при температуре от 2 до 8 оС. Допускается транспортирование при температуре от 9 до 25 оС в течение 10 сут.</w:t>
            </w:r>
          </w:p>
        </w:tc>
        <w:tc>
          <w:tcPr>
            <w:tcW w:w="720" w:type="dxa"/>
            <w:tcBorders>
              <w:top w:val="nil"/>
              <w:left w:val="single" w:sz="4" w:space="0" w:color="auto"/>
              <w:bottom w:val="single" w:sz="4" w:space="0" w:color="auto"/>
              <w:right w:val="nil"/>
            </w:tcBorders>
            <w:shd w:val="clear" w:color="auto" w:fill="auto"/>
            <w:noWrap/>
            <w:hideMark/>
          </w:tcPr>
          <w:p w:rsidR="00FA00EA" w:rsidRPr="00FA00EA" w:rsidRDefault="00FA00EA" w:rsidP="00FA00EA">
            <w:pPr>
              <w:suppressAutoHyphens w:val="0"/>
              <w:jc w:val="right"/>
              <w:rPr>
                <w:sz w:val="20"/>
                <w:szCs w:val="20"/>
                <w:lang w:eastAsia="ru-RU"/>
              </w:rPr>
            </w:pPr>
            <w:r w:rsidRPr="00FA00EA">
              <w:rPr>
                <w:sz w:val="20"/>
                <w:szCs w:val="20"/>
                <w:lang w:eastAsia="ru-RU"/>
              </w:rPr>
              <w:t>2</w:t>
            </w:r>
          </w:p>
        </w:tc>
        <w:tc>
          <w:tcPr>
            <w:tcW w:w="599" w:type="dxa"/>
            <w:tcBorders>
              <w:top w:val="nil"/>
              <w:left w:val="single" w:sz="4" w:space="0" w:color="auto"/>
              <w:bottom w:val="single" w:sz="4" w:space="0" w:color="auto"/>
              <w:right w:val="single" w:sz="4" w:space="0" w:color="auto"/>
            </w:tcBorders>
            <w:shd w:val="clear" w:color="auto" w:fill="auto"/>
            <w:noWrap/>
            <w:hideMark/>
          </w:tcPr>
          <w:p w:rsidR="00FA00EA" w:rsidRPr="00FA00EA" w:rsidRDefault="00FA00EA" w:rsidP="00FA00EA">
            <w:pPr>
              <w:suppressAutoHyphens w:val="0"/>
              <w:jc w:val="center"/>
              <w:rPr>
                <w:sz w:val="22"/>
                <w:szCs w:val="22"/>
                <w:lang w:eastAsia="ru-RU"/>
              </w:rPr>
            </w:pPr>
            <w:r w:rsidRPr="00FA00EA">
              <w:rPr>
                <w:sz w:val="22"/>
                <w:szCs w:val="22"/>
                <w:lang w:eastAsia="ru-RU"/>
              </w:rPr>
              <w:t>уп.</w:t>
            </w:r>
          </w:p>
        </w:tc>
      </w:tr>
    </w:tbl>
    <w:p w:rsidR="00FA00EA" w:rsidRDefault="00FA00EA" w:rsidP="00B477FA">
      <w:pPr>
        <w:pStyle w:val="20"/>
        <w:shd w:val="clear" w:color="auto" w:fill="auto"/>
        <w:tabs>
          <w:tab w:val="left" w:pos="851"/>
          <w:tab w:val="left" w:pos="1134"/>
        </w:tabs>
        <w:spacing w:before="0" w:line="240" w:lineRule="auto"/>
        <w:jc w:val="both"/>
        <w:rPr>
          <w:rFonts w:ascii="Times New Roman" w:hAnsi="Times New Roman" w:cs="Times New Roman"/>
          <w:sz w:val="20"/>
          <w:szCs w:val="20"/>
        </w:rPr>
      </w:pPr>
    </w:p>
    <w:p w:rsidR="00FA00EA" w:rsidRDefault="00FA00EA" w:rsidP="00B477FA">
      <w:pPr>
        <w:pStyle w:val="20"/>
        <w:shd w:val="clear" w:color="auto" w:fill="auto"/>
        <w:tabs>
          <w:tab w:val="left" w:pos="851"/>
          <w:tab w:val="left" w:pos="1134"/>
        </w:tabs>
        <w:spacing w:before="0" w:line="240" w:lineRule="auto"/>
        <w:jc w:val="both"/>
        <w:rPr>
          <w:rFonts w:ascii="Times New Roman" w:hAnsi="Times New Roman" w:cs="Times New Roman"/>
          <w:sz w:val="20"/>
          <w:szCs w:val="20"/>
        </w:rPr>
      </w:pPr>
    </w:p>
    <w:p w:rsidR="00FA00EA" w:rsidRDefault="00FA00EA" w:rsidP="00B477FA">
      <w:pPr>
        <w:pStyle w:val="20"/>
        <w:shd w:val="clear" w:color="auto" w:fill="auto"/>
        <w:tabs>
          <w:tab w:val="left" w:pos="851"/>
          <w:tab w:val="left" w:pos="1134"/>
        </w:tabs>
        <w:spacing w:before="0" w:line="240" w:lineRule="auto"/>
        <w:jc w:val="both"/>
        <w:rPr>
          <w:rFonts w:ascii="Times New Roman" w:hAnsi="Times New Roman" w:cs="Times New Roman"/>
          <w:sz w:val="20"/>
          <w:szCs w:val="20"/>
        </w:rPr>
      </w:pPr>
    </w:p>
    <w:p w:rsidR="00B477FA" w:rsidRPr="00801076" w:rsidRDefault="00B477FA" w:rsidP="00B477FA">
      <w:pPr>
        <w:pStyle w:val="20"/>
        <w:tabs>
          <w:tab w:val="left" w:pos="851"/>
          <w:tab w:val="left" w:pos="1134"/>
        </w:tabs>
        <w:spacing w:line="240" w:lineRule="auto"/>
        <w:ind w:firstLine="709"/>
        <w:jc w:val="both"/>
        <w:rPr>
          <w:rFonts w:ascii="Times New Roman" w:hAnsi="Times New Roman" w:cs="Times New Roman"/>
          <w:sz w:val="20"/>
          <w:szCs w:val="20"/>
        </w:rPr>
      </w:pPr>
      <w:r w:rsidRPr="00801076">
        <w:rPr>
          <w:rFonts w:ascii="Times New Roman" w:hAnsi="Times New Roman" w:cs="Times New Roman"/>
          <w:sz w:val="20"/>
          <w:szCs w:val="20"/>
        </w:rPr>
        <w:t xml:space="preserve">Начальная максимальная цена договора, порядок формирования цены: </w:t>
      </w:r>
      <w:r w:rsidR="00FA00EA">
        <w:rPr>
          <w:rFonts w:ascii="Times New Roman" w:hAnsi="Times New Roman" w:cs="Times New Roman"/>
          <w:sz w:val="20"/>
          <w:szCs w:val="20"/>
        </w:rPr>
        <w:t>630 000</w:t>
      </w:r>
      <w:r w:rsidRPr="00801076">
        <w:rPr>
          <w:rFonts w:ascii="Times New Roman" w:hAnsi="Times New Roman" w:cs="Times New Roman"/>
          <w:sz w:val="20"/>
          <w:szCs w:val="20"/>
        </w:rPr>
        <w:t xml:space="preserve"> (</w:t>
      </w:r>
      <w:r w:rsidR="00FA00EA">
        <w:rPr>
          <w:rFonts w:ascii="Times New Roman" w:hAnsi="Times New Roman" w:cs="Times New Roman"/>
          <w:sz w:val="20"/>
          <w:szCs w:val="20"/>
        </w:rPr>
        <w:t xml:space="preserve">шестьсот тридцать) рублей 00 </w:t>
      </w:r>
      <w:r w:rsidRPr="00801076">
        <w:rPr>
          <w:rFonts w:ascii="Times New Roman" w:hAnsi="Times New Roman" w:cs="Times New Roman"/>
          <w:sz w:val="20"/>
          <w:szCs w:val="20"/>
        </w:rPr>
        <w:t>копеек</w:t>
      </w:r>
      <w:r w:rsidR="00FA00EA">
        <w:rPr>
          <w:rFonts w:ascii="Times New Roman" w:hAnsi="Times New Roman" w:cs="Times New Roman"/>
          <w:sz w:val="20"/>
          <w:szCs w:val="20"/>
        </w:rPr>
        <w:t xml:space="preserve">, </w:t>
      </w:r>
      <w:r w:rsidRPr="00801076">
        <w:rPr>
          <w:rFonts w:ascii="Times New Roman" w:hAnsi="Times New Roman" w:cs="Times New Roman"/>
          <w:sz w:val="20"/>
          <w:szCs w:val="20"/>
        </w:rPr>
        <w:t>в стоимость товара включены расходы на перевозку, страхование, а также все налоги, пошлины и иные обязательные платежи.</w:t>
      </w:r>
    </w:p>
    <w:p w:rsidR="00B477FA" w:rsidRPr="00801076" w:rsidRDefault="00B477FA" w:rsidP="00B477FA">
      <w:pPr>
        <w:pStyle w:val="20"/>
        <w:tabs>
          <w:tab w:val="left" w:pos="851"/>
          <w:tab w:val="left" w:pos="1134"/>
        </w:tabs>
        <w:spacing w:line="240" w:lineRule="auto"/>
        <w:ind w:firstLine="709"/>
        <w:jc w:val="both"/>
        <w:rPr>
          <w:rFonts w:ascii="Times New Roman" w:hAnsi="Times New Roman" w:cs="Times New Roman"/>
          <w:sz w:val="20"/>
          <w:szCs w:val="20"/>
        </w:rPr>
      </w:pPr>
      <w:r w:rsidRPr="00801076">
        <w:rPr>
          <w:rFonts w:ascii="Times New Roman" w:hAnsi="Times New Roman" w:cs="Times New Roman"/>
          <w:sz w:val="20"/>
          <w:szCs w:val="20"/>
        </w:rPr>
        <w:t>Срок поставки товара – поставка осуществляется отдельными партиями по заявкам Покупателя.  Поставка товара</w:t>
      </w:r>
      <w:r>
        <w:rPr>
          <w:rFonts w:ascii="Times New Roman" w:hAnsi="Times New Roman" w:cs="Times New Roman"/>
          <w:sz w:val="20"/>
          <w:szCs w:val="20"/>
        </w:rPr>
        <w:t xml:space="preserve"> осуществляется не позднее 14 (</w:t>
      </w:r>
      <w:r w:rsidRPr="00801076">
        <w:rPr>
          <w:rFonts w:ascii="Times New Roman" w:hAnsi="Times New Roman" w:cs="Times New Roman"/>
          <w:sz w:val="20"/>
          <w:szCs w:val="20"/>
        </w:rPr>
        <w:t>четырнадцати) календарных дней с момента поступления заявки Покупателя. Поставка осуществляется на основании заявок Покупателя, оформленных в автоматизированной системе заказов «Электронный ордер» версия 2.0, с момента заключения договора в течение 6 (шести) календарных месяцев.</w:t>
      </w:r>
    </w:p>
    <w:p w:rsidR="00B477FA" w:rsidRPr="00801076" w:rsidRDefault="00B477FA" w:rsidP="00B477FA">
      <w:pPr>
        <w:pStyle w:val="20"/>
        <w:tabs>
          <w:tab w:val="left" w:pos="851"/>
          <w:tab w:val="left" w:pos="1134"/>
        </w:tabs>
        <w:spacing w:line="240" w:lineRule="auto"/>
        <w:ind w:firstLine="709"/>
        <w:jc w:val="both"/>
        <w:rPr>
          <w:rFonts w:ascii="Times New Roman" w:hAnsi="Times New Roman" w:cs="Times New Roman"/>
          <w:sz w:val="20"/>
          <w:szCs w:val="20"/>
        </w:rPr>
      </w:pPr>
      <w:r w:rsidRPr="00801076">
        <w:rPr>
          <w:rFonts w:ascii="Times New Roman" w:hAnsi="Times New Roman" w:cs="Times New Roman"/>
          <w:sz w:val="20"/>
          <w:szCs w:val="20"/>
        </w:rPr>
        <w:t>Место поставки:</w:t>
      </w:r>
      <w:r>
        <w:rPr>
          <w:rFonts w:ascii="Times New Roman" w:hAnsi="Times New Roman" w:cs="Times New Roman"/>
          <w:sz w:val="20"/>
          <w:szCs w:val="20"/>
        </w:rPr>
        <w:t xml:space="preserve"> </w:t>
      </w:r>
      <w:r w:rsidR="00FA00EA">
        <w:rPr>
          <w:rFonts w:ascii="Times New Roman" w:hAnsi="Times New Roman" w:cs="Times New Roman"/>
          <w:sz w:val="20"/>
          <w:szCs w:val="20"/>
        </w:rPr>
        <w:t>г.Печора, ул. Н.островского, 35А</w:t>
      </w:r>
      <w:r w:rsidRPr="00801076">
        <w:rPr>
          <w:rFonts w:ascii="Times New Roman" w:hAnsi="Times New Roman" w:cs="Times New Roman"/>
          <w:sz w:val="20"/>
          <w:szCs w:val="20"/>
        </w:rPr>
        <w:t>.</w:t>
      </w:r>
    </w:p>
    <w:p w:rsidR="00B477FA" w:rsidRPr="00801076" w:rsidRDefault="00B477FA" w:rsidP="00B477FA">
      <w:pPr>
        <w:pStyle w:val="20"/>
        <w:tabs>
          <w:tab w:val="left" w:pos="851"/>
          <w:tab w:val="left" w:pos="1134"/>
        </w:tabs>
        <w:spacing w:line="240" w:lineRule="auto"/>
        <w:ind w:firstLine="709"/>
        <w:jc w:val="both"/>
        <w:rPr>
          <w:rFonts w:ascii="Times New Roman" w:hAnsi="Times New Roman" w:cs="Times New Roman"/>
          <w:sz w:val="20"/>
          <w:szCs w:val="20"/>
        </w:rPr>
      </w:pPr>
      <w:r w:rsidRPr="00801076">
        <w:rPr>
          <w:rFonts w:ascii="Times New Roman" w:hAnsi="Times New Roman" w:cs="Times New Roman"/>
          <w:sz w:val="20"/>
          <w:szCs w:val="20"/>
        </w:rPr>
        <w:lastRenderedPageBreak/>
        <w:t>Условия оплаты: Оплата Товара производится Покупателем путем перечисления денежных средств на расчетный счет Поставщика в течение 60 календарных дней после принятия Товара Покупателем в полном объеме, подписания Сторонами товарной накладной формы ТОРГ-12.</w:t>
      </w:r>
      <w:r w:rsidRPr="00801076">
        <w:rPr>
          <w:rFonts w:ascii="Times New Roman" w:hAnsi="Times New Roman" w:cs="Times New Roman"/>
          <w:sz w:val="20"/>
          <w:szCs w:val="20"/>
        </w:rPr>
        <w:cr/>
      </w:r>
    </w:p>
    <w:p w:rsidR="00B477FA" w:rsidRPr="00801076" w:rsidRDefault="00B477FA" w:rsidP="00B477FA">
      <w:pPr>
        <w:pStyle w:val="20"/>
        <w:tabs>
          <w:tab w:val="left" w:pos="851"/>
          <w:tab w:val="left" w:pos="1134"/>
        </w:tabs>
        <w:spacing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Pr="00801076">
        <w:rPr>
          <w:rFonts w:ascii="Times New Roman" w:hAnsi="Times New Roman" w:cs="Times New Roman"/>
          <w:sz w:val="20"/>
          <w:szCs w:val="20"/>
        </w:rPr>
        <w:t xml:space="preserve">Требования к безопасности, качеству, товара: </w:t>
      </w:r>
    </w:p>
    <w:p w:rsidR="00B477FA" w:rsidRPr="00801076" w:rsidRDefault="00B477FA" w:rsidP="00B477FA">
      <w:pPr>
        <w:pStyle w:val="20"/>
        <w:tabs>
          <w:tab w:val="left" w:pos="851"/>
          <w:tab w:val="left" w:pos="1134"/>
        </w:tabs>
        <w:spacing w:line="240" w:lineRule="auto"/>
        <w:ind w:firstLine="709"/>
        <w:jc w:val="both"/>
        <w:rPr>
          <w:rFonts w:ascii="Times New Roman" w:hAnsi="Times New Roman" w:cs="Times New Roman"/>
          <w:sz w:val="20"/>
          <w:szCs w:val="20"/>
        </w:rPr>
      </w:pPr>
      <w:r w:rsidRPr="00801076">
        <w:rPr>
          <w:rFonts w:ascii="Times New Roman" w:hAnsi="Times New Roman" w:cs="Times New Roman"/>
          <w:sz w:val="20"/>
          <w:szCs w:val="20"/>
        </w:rPr>
        <w:tab/>
        <w:t>Качество товара, подлежащего поставке, должно соответствовать предусмотренным по нему стандартам (ГОСТ, действующим на территории РФ и др.), требованиям, установленным Федеральной службой по надзору в сфере здравоохранения (Росздравнадзор), а также требованиям, установленным иными нормативно-правовыми актами РФ, подтверждаться соответствующими установленными документами. Поставщик должен гарантировать качество и безопасность поставляемой продукции, товар должен быть новый, не восстановленный, не бывший в эксплуатации. Товар должен быть безопасным для жизни, здоровья и окружающей среды при обычных условиях его использования, хранения, транспортировки.</w:t>
      </w:r>
    </w:p>
    <w:p w:rsidR="00B477FA" w:rsidRPr="00801076" w:rsidRDefault="00B477FA" w:rsidP="00B477FA">
      <w:pPr>
        <w:pStyle w:val="20"/>
        <w:tabs>
          <w:tab w:val="left" w:pos="851"/>
          <w:tab w:val="left" w:pos="1134"/>
        </w:tabs>
        <w:spacing w:line="240" w:lineRule="auto"/>
        <w:ind w:firstLine="709"/>
        <w:jc w:val="both"/>
        <w:rPr>
          <w:rFonts w:ascii="Times New Roman" w:hAnsi="Times New Roman" w:cs="Times New Roman"/>
          <w:sz w:val="20"/>
          <w:szCs w:val="20"/>
        </w:rPr>
      </w:pPr>
      <w:r w:rsidRPr="00801076">
        <w:rPr>
          <w:rFonts w:ascii="Times New Roman" w:hAnsi="Times New Roman" w:cs="Times New Roman"/>
          <w:sz w:val="20"/>
          <w:szCs w:val="20"/>
        </w:rPr>
        <w:t>Требования к таре и упаковке: Товар должен быть отгружен в заводской упаковке и таре, соответствующей для данного вида товара, которая обеспечит его сохранность от всякого рода повреждений при перевозке любыми видами транспорта, а также предохранит товар от атмосферных влияний.</w:t>
      </w:r>
    </w:p>
    <w:p w:rsidR="00B477FA" w:rsidRPr="00801076" w:rsidRDefault="00B477FA" w:rsidP="00B477FA">
      <w:pPr>
        <w:pStyle w:val="20"/>
        <w:tabs>
          <w:tab w:val="left" w:pos="851"/>
          <w:tab w:val="left" w:pos="1134"/>
        </w:tabs>
        <w:spacing w:line="240" w:lineRule="auto"/>
        <w:ind w:firstLine="709"/>
        <w:jc w:val="both"/>
        <w:rPr>
          <w:rFonts w:ascii="Times New Roman" w:hAnsi="Times New Roman" w:cs="Times New Roman"/>
          <w:sz w:val="20"/>
          <w:szCs w:val="20"/>
        </w:rPr>
      </w:pPr>
    </w:p>
    <w:p w:rsidR="00B477FA" w:rsidRPr="00801076" w:rsidRDefault="00B477FA" w:rsidP="00B477FA">
      <w:pPr>
        <w:pStyle w:val="20"/>
        <w:tabs>
          <w:tab w:val="left" w:pos="851"/>
          <w:tab w:val="left" w:pos="1134"/>
        </w:tabs>
        <w:spacing w:line="240" w:lineRule="auto"/>
        <w:ind w:firstLine="709"/>
        <w:jc w:val="both"/>
        <w:rPr>
          <w:rFonts w:ascii="Times New Roman" w:hAnsi="Times New Roman" w:cs="Times New Roman"/>
          <w:sz w:val="20"/>
          <w:szCs w:val="20"/>
        </w:rPr>
      </w:pPr>
      <w:r w:rsidRPr="00801076">
        <w:rPr>
          <w:rFonts w:ascii="Times New Roman" w:hAnsi="Times New Roman" w:cs="Times New Roman"/>
          <w:sz w:val="20"/>
          <w:szCs w:val="20"/>
        </w:rPr>
        <w:t>Тара должна соответствовать ГОСТу, требованиям, предъявляемым к таре и упаковке соответствующих групп товаров на территории РФ. При транспортировке, погрузке-разгрузке и в процессе упаковки не должна нарушаться оригинальная тара и упаковка. Тара и упаковка должна быть легко открываема и в дальнейшем, после вскрытия, сохранять вышеуказанные свойства, в том числе и в случаях вскрытия при сдаче-приемке Товара и других регламентных процедурах. Упаковка должна обеспечивать качество и сохранность товара.</w:t>
      </w:r>
    </w:p>
    <w:p w:rsidR="00B477FA" w:rsidRPr="00801076" w:rsidRDefault="00B477FA" w:rsidP="00B477FA">
      <w:pPr>
        <w:pStyle w:val="20"/>
        <w:tabs>
          <w:tab w:val="left" w:pos="851"/>
          <w:tab w:val="left" w:pos="1134"/>
        </w:tabs>
        <w:spacing w:line="240" w:lineRule="auto"/>
        <w:ind w:firstLine="709"/>
        <w:jc w:val="both"/>
        <w:rPr>
          <w:rFonts w:ascii="Times New Roman" w:hAnsi="Times New Roman" w:cs="Times New Roman"/>
          <w:sz w:val="20"/>
          <w:szCs w:val="20"/>
        </w:rPr>
      </w:pPr>
      <w:r w:rsidRPr="00801076">
        <w:rPr>
          <w:rFonts w:ascii="Times New Roman" w:hAnsi="Times New Roman" w:cs="Times New Roman"/>
          <w:sz w:val="20"/>
          <w:szCs w:val="20"/>
        </w:rPr>
        <w:t>Требования к результатам:</w:t>
      </w:r>
    </w:p>
    <w:p w:rsidR="00B477FA" w:rsidRPr="00801076" w:rsidRDefault="00B477FA" w:rsidP="00B477FA">
      <w:pPr>
        <w:pStyle w:val="20"/>
        <w:tabs>
          <w:tab w:val="left" w:pos="851"/>
          <w:tab w:val="left" w:pos="1134"/>
        </w:tabs>
        <w:spacing w:line="240" w:lineRule="auto"/>
        <w:ind w:firstLine="709"/>
        <w:jc w:val="both"/>
        <w:rPr>
          <w:rFonts w:ascii="Times New Roman" w:hAnsi="Times New Roman" w:cs="Times New Roman"/>
          <w:sz w:val="20"/>
          <w:szCs w:val="20"/>
        </w:rPr>
      </w:pPr>
      <w:r w:rsidRPr="00801076">
        <w:rPr>
          <w:rFonts w:ascii="Times New Roman" w:hAnsi="Times New Roman" w:cs="Times New Roman"/>
          <w:sz w:val="20"/>
          <w:szCs w:val="20"/>
        </w:rPr>
        <w:t>Товар должен быть поставлен в полном объеме, в установленный срок и соответствовать предъявляемым в соответствии с документацией и техническим заданием.</w:t>
      </w:r>
    </w:p>
    <w:p w:rsidR="00B477FA" w:rsidRPr="008B1DD5" w:rsidRDefault="00B477FA" w:rsidP="00B477FA">
      <w:pPr>
        <w:pStyle w:val="20"/>
        <w:shd w:val="clear" w:color="auto" w:fill="auto"/>
        <w:tabs>
          <w:tab w:val="left" w:pos="851"/>
          <w:tab w:val="left" w:pos="1134"/>
        </w:tabs>
        <w:spacing w:before="0" w:line="240" w:lineRule="auto"/>
        <w:ind w:firstLine="709"/>
        <w:jc w:val="both"/>
        <w:rPr>
          <w:rFonts w:ascii="Times New Roman" w:hAnsi="Times New Roman" w:cs="Times New Roman"/>
          <w:sz w:val="20"/>
          <w:szCs w:val="20"/>
        </w:rPr>
      </w:pPr>
      <w:r w:rsidRPr="00801076">
        <w:rPr>
          <w:rFonts w:ascii="Times New Roman" w:hAnsi="Times New Roman" w:cs="Times New Roman"/>
          <w:sz w:val="20"/>
          <w:szCs w:val="20"/>
        </w:rPr>
        <w:t>При поставке товара Поставщик обязан предоставить: регистрационные удостоверения, декларацию, сертификаты соответствия, а также инструкцию</w:t>
      </w:r>
      <w:r>
        <w:rPr>
          <w:rFonts w:ascii="Times New Roman" w:hAnsi="Times New Roman" w:cs="Times New Roman"/>
          <w:sz w:val="20"/>
          <w:szCs w:val="20"/>
        </w:rPr>
        <w:t>.</w:t>
      </w:r>
    </w:p>
    <w:p w:rsidR="00166663" w:rsidRDefault="00166663"/>
    <w:sectPr w:rsidR="00166663" w:rsidSect="001666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FA"/>
    <w:rsid w:val="00166663"/>
    <w:rsid w:val="00B477FA"/>
    <w:rsid w:val="00D16304"/>
    <w:rsid w:val="00FA00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4B358"/>
  <w15:docId w15:val="{094A91A8-84E4-4FB5-9D9E-C9B5AB129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7FA"/>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uiPriority w:val="99"/>
    <w:qFormat/>
    <w:locked/>
    <w:rsid w:val="00B477FA"/>
    <w:rPr>
      <w:shd w:val="clear" w:color="auto" w:fill="FFFFFF"/>
    </w:rPr>
  </w:style>
  <w:style w:type="paragraph" w:customStyle="1" w:styleId="20">
    <w:name w:val="Основной текст (2)"/>
    <w:basedOn w:val="a"/>
    <w:link w:val="2"/>
    <w:uiPriority w:val="99"/>
    <w:qFormat/>
    <w:rsid w:val="00B477FA"/>
    <w:pPr>
      <w:widowControl w:val="0"/>
      <w:shd w:val="clear" w:color="auto" w:fill="FFFFFF"/>
      <w:suppressAutoHyphens w:val="0"/>
      <w:spacing w:before="60" w:line="293" w:lineRule="exact"/>
      <w:jc w:val="right"/>
    </w:pPr>
    <w:rPr>
      <w:rFonts w:asciiTheme="minorHAnsi" w:eastAsiaTheme="minorHAnsi" w:hAnsiTheme="minorHAnsi" w:cstheme="minorBidi"/>
      <w:sz w:val="22"/>
      <w:szCs w:val="22"/>
      <w:lang w:eastAsia="en-US"/>
    </w:rPr>
  </w:style>
  <w:style w:type="character" w:customStyle="1" w:styleId="a3">
    <w:name w:val="Колонтитул_"/>
    <w:link w:val="a4"/>
    <w:locked/>
    <w:rsid w:val="00B477FA"/>
    <w:rPr>
      <w:b/>
      <w:bCs/>
      <w:sz w:val="18"/>
      <w:szCs w:val="18"/>
      <w:shd w:val="clear" w:color="auto" w:fill="FFFFFF"/>
    </w:rPr>
  </w:style>
  <w:style w:type="paragraph" w:customStyle="1" w:styleId="a4">
    <w:name w:val="Колонтитул"/>
    <w:basedOn w:val="a"/>
    <w:link w:val="a3"/>
    <w:qFormat/>
    <w:rsid w:val="00B477FA"/>
    <w:pPr>
      <w:widowControl w:val="0"/>
      <w:shd w:val="clear" w:color="auto" w:fill="FFFFFF"/>
      <w:suppressAutoHyphens w:val="0"/>
      <w:spacing w:line="230" w:lineRule="exact"/>
      <w:jc w:val="right"/>
    </w:pPr>
    <w:rPr>
      <w:rFonts w:asciiTheme="minorHAnsi" w:eastAsiaTheme="minorHAnsi" w:hAnsiTheme="minorHAnsi" w:cstheme="minorBidi"/>
      <w:b/>
      <w:bCs/>
      <w:sz w:val="18"/>
      <w:szCs w:val="18"/>
      <w:lang w:eastAsia="en-US"/>
    </w:rPr>
  </w:style>
  <w:style w:type="character" w:customStyle="1" w:styleId="6">
    <w:name w:val="Основной текст (6)_"/>
    <w:link w:val="60"/>
    <w:qFormat/>
    <w:locked/>
    <w:rsid w:val="00B477FA"/>
    <w:rPr>
      <w:i/>
      <w:iCs/>
      <w:shd w:val="clear" w:color="auto" w:fill="FFFFFF"/>
    </w:rPr>
  </w:style>
  <w:style w:type="paragraph" w:customStyle="1" w:styleId="60">
    <w:name w:val="Основной текст (6)"/>
    <w:basedOn w:val="a"/>
    <w:link w:val="6"/>
    <w:qFormat/>
    <w:rsid w:val="00B477FA"/>
    <w:pPr>
      <w:widowControl w:val="0"/>
      <w:shd w:val="clear" w:color="auto" w:fill="FFFFFF"/>
      <w:suppressAutoHyphens w:val="0"/>
      <w:spacing w:before="120" w:line="0" w:lineRule="atLeast"/>
      <w:ind w:hanging="400"/>
    </w:pPr>
    <w:rPr>
      <w:rFonts w:asciiTheme="minorHAnsi" w:eastAsiaTheme="minorHAnsi" w:hAnsiTheme="minorHAnsi" w:cstheme="minorBidi"/>
      <w:i/>
      <w:iCs/>
      <w:sz w:val="22"/>
      <w:szCs w:val="22"/>
      <w:lang w:eastAsia="en-US"/>
    </w:rPr>
  </w:style>
  <w:style w:type="character" w:customStyle="1" w:styleId="4">
    <w:name w:val="Заголовок №4_"/>
    <w:link w:val="40"/>
    <w:qFormat/>
    <w:locked/>
    <w:rsid w:val="00B477FA"/>
    <w:rPr>
      <w:shd w:val="clear" w:color="auto" w:fill="FFFFFF"/>
    </w:rPr>
  </w:style>
  <w:style w:type="paragraph" w:customStyle="1" w:styleId="40">
    <w:name w:val="Заголовок №4"/>
    <w:basedOn w:val="a"/>
    <w:link w:val="4"/>
    <w:qFormat/>
    <w:rsid w:val="00B477FA"/>
    <w:pPr>
      <w:widowControl w:val="0"/>
      <w:shd w:val="clear" w:color="auto" w:fill="FFFFFF"/>
      <w:suppressAutoHyphens w:val="0"/>
      <w:spacing w:before="60" w:line="0" w:lineRule="atLeast"/>
      <w:jc w:val="both"/>
      <w:outlineLvl w:val="3"/>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09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5344</Words>
  <Characters>30462</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2020-06-18T11:51:00Z</dcterms:created>
  <dcterms:modified xsi:type="dcterms:W3CDTF">2020-06-18T12:08:00Z</dcterms:modified>
</cp:coreProperties>
</file>