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медицинских изделий и 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F7681">
        <w:rPr>
          <w:rFonts w:ascii="Times New Roman" w:eastAsia="Calibri" w:hAnsi="Times New Roman" w:cs="Times New Roman"/>
          <w:b/>
          <w:kern w:val="3"/>
          <w:sz w:val="24"/>
          <w:szCs w:val="24"/>
          <w:lang w:eastAsia="ru-RU"/>
        </w:rPr>
        <w:t>медицинские изделия и 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proofErr w:type="gramStart"/>
      <w:r w:rsidR="00447D31"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roofErr w:type="gramEnd"/>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lastRenderedPageBreak/>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8.6. </w:t>
      </w:r>
      <w:proofErr w:type="gramStart"/>
      <w:r w:rsidRPr="002D0DF3">
        <w:rPr>
          <w:rFonts w:ascii="Times New Roman" w:eastAsia="Times New Roman"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с даты поставки Товара.</w:t>
      </w:r>
      <w:proofErr w:type="gramEnd"/>
      <w:r w:rsidRPr="002D0DF3">
        <w:rPr>
          <w:rFonts w:ascii="Times New Roman" w:eastAsia="Times New Roman" w:hAnsi="Times New Roman" w:cs="Times New Roman"/>
          <w:sz w:val="24"/>
          <w:szCs w:val="24"/>
          <w:lang w:eastAsia="ru-RU"/>
        </w:rPr>
        <w:t xml:space="preserve">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2D0DF3">
        <w:rPr>
          <w:rFonts w:ascii="Times New Roman" w:eastAsia="Times New Roman" w:hAnsi="Times New Roman" w:cs="Times New Roman"/>
          <w:sz w:val="24"/>
          <w:szCs w:val="24"/>
          <w:lang w:eastAsia="ru-RU"/>
        </w:rPr>
        <w:lastRenderedPageBreak/>
        <w:t>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2D0DF3">
        <w:rPr>
          <w:rFonts w:ascii="Times New Roman" w:eastAsia="Calibri" w:hAnsi="Times New Roman" w:cs="Times New Roman"/>
          <w:sz w:val="24"/>
          <w:szCs w:val="24"/>
          <w:lang w:eastAsia="ru-RU"/>
        </w:rPr>
        <w:t>природными стихийными</w:t>
      </w:r>
      <w:proofErr w:type="gramEnd"/>
      <w:r w:rsidRPr="002D0DF3">
        <w:rPr>
          <w:rFonts w:ascii="Times New Roman" w:eastAsia="Calibri" w:hAnsi="Times New Roman" w:cs="Times New Roman"/>
          <w:sz w:val="24"/>
          <w:szCs w:val="24"/>
          <w:lang w:eastAsia="ru-RU"/>
        </w:rPr>
        <w:t xml:space="preserve"> бедствиями, а также изданием актов государственных органов.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E4" w:rsidRDefault="00B968E4">
      <w:pPr>
        <w:spacing w:after="0" w:line="240" w:lineRule="auto"/>
      </w:pPr>
      <w:r>
        <w:separator/>
      </w:r>
    </w:p>
  </w:endnote>
  <w:endnote w:type="continuationSeparator" w:id="0">
    <w:p w:rsidR="00B968E4" w:rsidRDefault="00B96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E4" w:rsidRDefault="00B968E4">
      <w:pPr>
        <w:spacing w:after="0" w:line="240" w:lineRule="auto"/>
      </w:pPr>
      <w:r>
        <w:separator/>
      </w:r>
    </w:p>
  </w:footnote>
  <w:footnote w:type="continuationSeparator" w:id="0">
    <w:p w:rsidR="00B968E4" w:rsidRDefault="00B96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9C2469">
        <w:pPr>
          <w:pStyle w:val="a4"/>
          <w:jc w:val="center"/>
        </w:pPr>
        <w:r>
          <w:fldChar w:fldCharType="begin"/>
        </w:r>
        <w:r w:rsidR="000549A7">
          <w:instrText xml:space="preserve"> PAGE   \* MERGEFORMAT </w:instrText>
        </w:r>
        <w:r>
          <w:fldChar w:fldCharType="separate"/>
        </w:r>
        <w:r w:rsidR="00DF3687">
          <w:rPr>
            <w:noProof/>
          </w:rPr>
          <w:t>10</w:t>
        </w:r>
        <w:r>
          <w:rPr>
            <w:noProof/>
          </w:rPr>
          <w:fldChar w:fldCharType="end"/>
        </w:r>
      </w:p>
    </w:sdtContent>
  </w:sdt>
  <w:p w:rsidR="0092147D" w:rsidRDefault="00B968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941D3"/>
    <w:rsid w:val="001E4284"/>
    <w:rsid w:val="001F5FE6"/>
    <w:rsid w:val="00266280"/>
    <w:rsid w:val="002678EB"/>
    <w:rsid w:val="002C554D"/>
    <w:rsid w:val="003247E0"/>
    <w:rsid w:val="00331E8A"/>
    <w:rsid w:val="003B1C8D"/>
    <w:rsid w:val="00416529"/>
    <w:rsid w:val="00425DF5"/>
    <w:rsid w:val="00447D31"/>
    <w:rsid w:val="004724CB"/>
    <w:rsid w:val="00557466"/>
    <w:rsid w:val="005A4768"/>
    <w:rsid w:val="007E3D85"/>
    <w:rsid w:val="009915A2"/>
    <w:rsid w:val="009B711C"/>
    <w:rsid w:val="009C2469"/>
    <w:rsid w:val="00AC696B"/>
    <w:rsid w:val="00AC733F"/>
    <w:rsid w:val="00AF7681"/>
    <w:rsid w:val="00B13D32"/>
    <w:rsid w:val="00B968E4"/>
    <w:rsid w:val="00BB5E98"/>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13</cp:revision>
  <dcterms:created xsi:type="dcterms:W3CDTF">2021-11-01T10:57:00Z</dcterms:created>
  <dcterms:modified xsi:type="dcterms:W3CDTF">2022-03-03T05:33:00Z</dcterms:modified>
</cp:coreProperties>
</file>