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8F05EA">
        <w:rPr>
          <w:color w:val="000000" w:themeColor="text1"/>
          <w:sz w:val="28"/>
          <w:szCs w:val="28"/>
        </w:rPr>
        <w:t>23151103001</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363613">
        <w:rPr>
          <w:color w:val="000000" w:themeColor="text1"/>
          <w:sz w:val="28"/>
          <w:szCs w:val="28"/>
        </w:rPr>
        <w:t xml:space="preserve">медицинских расходных материалов </w:t>
      </w:r>
      <w:r w:rsidR="008F05EA">
        <w:rPr>
          <w:color w:val="000000" w:themeColor="text1"/>
          <w:sz w:val="28"/>
          <w:szCs w:val="28"/>
        </w:rPr>
        <w:t>и медицинских изделий</w:t>
      </w:r>
      <w:r w:rsidR="000F2F43" w:rsidRPr="000F2F43">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8F05EA">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391D4D">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D375C6" w:rsidRPr="00D07E9B">
              <w:rPr>
                <w:color w:val="000000" w:themeColor="text1"/>
                <w:sz w:val="28"/>
                <w:szCs w:val="28"/>
              </w:rPr>
              <w:t xml:space="preserve">право заключения договора на </w:t>
            </w:r>
            <w:r w:rsidR="00D375C6">
              <w:rPr>
                <w:color w:val="000000" w:themeColor="text1"/>
                <w:sz w:val="28"/>
                <w:szCs w:val="28"/>
              </w:rPr>
              <w:t>поставку медицинских расходных материалов и медицинских изделий</w:t>
            </w:r>
            <w:r w:rsidR="00D375C6" w:rsidRPr="000F2F43">
              <w:rPr>
                <w:color w:val="000000" w:themeColor="text1"/>
                <w:sz w:val="28"/>
                <w:szCs w:val="28"/>
              </w:rPr>
              <w:t xml:space="preserve"> </w:t>
            </w:r>
            <w:r w:rsidR="00D375C6" w:rsidRPr="00E8447B">
              <w:rPr>
                <w:color w:val="000000" w:themeColor="text1"/>
                <w:sz w:val="28"/>
                <w:szCs w:val="28"/>
              </w:rPr>
              <w:t xml:space="preserve">для </w:t>
            </w:r>
            <w:r w:rsidR="00D375C6">
              <w:rPr>
                <w:color w:val="000000" w:themeColor="text1"/>
                <w:sz w:val="28"/>
                <w:szCs w:val="28"/>
              </w:rPr>
              <w:t>нужд ЧУЗ</w:t>
            </w:r>
            <w:r w:rsidR="00D375C6" w:rsidRPr="001C4D75">
              <w:rPr>
                <w:color w:val="000000" w:themeColor="text1"/>
                <w:sz w:val="28"/>
                <w:szCs w:val="28"/>
              </w:rPr>
              <w:t xml:space="preserve"> «РЖД-Медицина»</w:t>
            </w:r>
            <w:r w:rsidR="00D375C6">
              <w:rPr>
                <w:color w:val="000000" w:themeColor="text1"/>
                <w:sz w:val="28"/>
                <w:szCs w:val="28"/>
              </w:rPr>
              <w:t xml:space="preserve">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Default="00363613" w:rsidP="000365B8">
            <w:pPr>
              <w:spacing w:line="252" w:lineRule="auto"/>
              <w:jc w:val="both"/>
              <w:rPr>
                <w:sz w:val="28"/>
                <w:szCs w:val="28"/>
              </w:rPr>
            </w:pPr>
            <w:r>
              <w:rPr>
                <w:sz w:val="28"/>
                <w:szCs w:val="28"/>
              </w:rPr>
              <w:t>Республика Коми, город Печора, ул. Н.Островского, д.35А;</w:t>
            </w:r>
          </w:p>
          <w:p w:rsidR="00363613" w:rsidRPr="00363613" w:rsidRDefault="00363613" w:rsidP="000365B8">
            <w:pPr>
              <w:spacing w:line="252" w:lineRule="auto"/>
              <w:jc w:val="both"/>
              <w:rPr>
                <w:sz w:val="28"/>
                <w:szCs w:val="28"/>
              </w:rPr>
            </w:pPr>
            <w:r>
              <w:rPr>
                <w:sz w:val="28"/>
                <w:szCs w:val="28"/>
              </w:rPr>
              <w:t>Республика Коми, город Воркута, ул.</w:t>
            </w:r>
            <w:r w:rsidR="00942DDE">
              <w:rPr>
                <w:sz w:val="28"/>
                <w:szCs w:val="28"/>
              </w:rPr>
              <w:t xml:space="preserve"> </w:t>
            </w:r>
            <w:r>
              <w:rPr>
                <w:sz w:val="28"/>
                <w:szCs w:val="28"/>
              </w:rPr>
              <w:t>Матвеева, д.37А.</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r>
              <w:rPr>
                <w:bCs/>
                <w:color w:val="000000"/>
                <w:sz w:val="28"/>
                <w:szCs w:val="28"/>
              </w:rPr>
              <w:t xml:space="preserve">Согласно ТЗ. </w:t>
            </w:r>
            <w:r w:rsidRPr="000F2F43">
              <w:rPr>
                <w:bCs/>
                <w:color w:val="000000"/>
                <w:sz w:val="28"/>
                <w:szCs w:val="28"/>
              </w:rPr>
              <w:t xml:space="preserve">Предельная стоимость по договору </w:t>
            </w:r>
          </w:p>
          <w:p w:rsidR="00EA196B" w:rsidRPr="00DE5574" w:rsidRDefault="00D375C6" w:rsidP="00D375C6">
            <w:pPr>
              <w:rPr>
                <w:bCs/>
                <w:color w:val="000000"/>
                <w:sz w:val="28"/>
                <w:szCs w:val="28"/>
              </w:rPr>
            </w:pPr>
            <w:r>
              <w:rPr>
                <w:bCs/>
                <w:color w:val="000000"/>
                <w:sz w:val="28"/>
                <w:szCs w:val="28"/>
              </w:rPr>
              <w:t>2 2</w:t>
            </w:r>
            <w:r w:rsidR="00CF26B7" w:rsidRPr="00510AFA">
              <w:rPr>
                <w:bCs/>
                <w:color w:val="000000"/>
                <w:sz w:val="28"/>
                <w:szCs w:val="28"/>
              </w:rPr>
              <w:t>00</w:t>
            </w:r>
            <w:r w:rsidR="00B2331B" w:rsidRPr="00510AFA">
              <w:rPr>
                <w:bCs/>
                <w:color w:val="000000"/>
                <w:sz w:val="28"/>
                <w:szCs w:val="28"/>
              </w:rPr>
              <w:t xml:space="preserve"> 000,00  (</w:t>
            </w:r>
            <w:r w:rsidR="009A2E08" w:rsidRPr="00510AFA">
              <w:rPr>
                <w:bCs/>
                <w:color w:val="000000"/>
                <w:sz w:val="28"/>
                <w:szCs w:val="28"/>
              </w:rPr>
              <w:t xml:space="preserve">Два миллиона </w:t>
            </w:r>
            <w:r>
              <w:rPr>
                <w:bCs/>
                <w:color w:val="000000"/>
                <w:sz w:val="28"/>
                <w:szCs w:val="28"/>
              </w:rPr>
              <w:t>двести</w:t>
            </w:r>
            <w:r w:rsidR="009A2E08" w:rsidRPr="00510AFA">
              <w:rPr>
                <w:bCs/>
                <w:color w:val="000000"/>
                <w:sz w:val="28"/>
                <w:szCs w:val="28"/>
              </w:rPr>
              <w:t xml:space="preserve"> тысяч</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D375C6">
              <w:rPr>
                <w:bCs/>
                <w:sz w:val="28"/>
                <w:szCs w:val="28"/>
                <w:highlight w:val="green"/>
              </w:rPr>
              <w:t>20.01.2023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D375C6">
              <w:rPr>
                <w:bCs/>
                <w:sz w:val="28"/>
                <w:szCs w:val="28"/>
                <w:highlight w:val="green"/>
              </w:rPr>
              <w:t>31</w:t>
            </w:r>
            <w:r w:rsidR="00363613" w:rsidRPr="001216F3">
              <w:rPr>
                <w:bCs/>
                <w:sz w:val="28"/>
                <w:szCs w:val="28"/>
                <w:highlight w:val="green"/>
              </w:rPr>
              <w:t>.01.2023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D375C6">
              <w:rPr>
                <w:bCs/>
                <w:sz w:val="28"/>
                <w:szCs w:val="28"/>
              </w:rPr>
              <w:t>31</w:t>
            </w:r>
            <w:r w:rsidR="001216F3">
              <w:rPr>
                <w:bCs/>
                <w:sz w:val="28"/>
                <w:szCs w:val="28"/>
              </w:rPr>
              <w:t>.01.2023</w:t>
            </w:r>
            <w:r w:rsidR="00812910" w:rsidRPr="00812910">
              <w:rPr>
                <w:bCs/>
                <w:sz w:val="28"/>
                <w:szCs w:val="28"/>
              </w:rPr>
              <w:t xml:space="preserve"> г.</w:t>
            </w:r>
            <w:r w:rsidR="00F36C4A" w:rsidRPr="00F36C4A">
              <w:rPr>
                <w:bCs/>
                <w:sz w:val="28"/>
                <w:szCs w:val="28"/>
              </w:rPr>
              <w:t xml:space="preserve"> </w:t>
            </w:r>
            <w:r w:rsidR="00E65EA1" w:rsidRPr="00DE5574">
              <w:rPr>
                <w:bCs/>
                <w:sz w:val="28"/>
                <w:szCs w:val="28"/>
              </w:rPr>
              <w:t xml:space="preserve">в </w:t>
            </w:r>
            <w:r w:rsidR="008B6DBF">
              <w:rPr>
                <w:bCs/>
                <w:sz w:val="28"/>
                <w:szCs w:val="28"/>
              </w:rPr>
              <w:t>1</w:t>
            </w:r>
            <w:r w:rsidR="00E164FB">
              <w:rPr>
                <w:bCs/>
                <w:sz w:val="28"/>
                <w:szCs w:val="28"/>
              </w:rPr>
              <w:t>4</w:t>
            </w:r>
            <w:r w:rsidR="008B6DBF">
              <w:rPr>
                <w:bCs/>
                <w:sz w:val="28"/>
                <w:szCs w:val="28"/>
              </w:rPr>
              <w:t>.</w:t>
            </w:r>
            <w:r w:rsidR="004336B5">
              <w:rPr>
                <w:bCs/>
                <w:sz w:val="28"/>
                <w:szCs w:val="28"/>
              </w:rPr>
              <w:t>0</w:t>
            </w:r>
            <w:r w:rsidR="008B6DBF">
              <w:rPr>
                <w:bCs/>
                <w:sz w:val="28"/>
                <w:szCs w:val="28"/>
              </w:rPr>
              <w:t>0</w:t>
            </w:r>
            <w:r w:rsidR="00E65EA1" w:rsidRPr="00DE5574">
              <w:rPr>
                <w:bCs/>
                <w:sz w:val="28"/>
                <w:szCs w:val="28"/>
              </w:rPr>
              <w:t xml:space="preserve"> час</w:t>
            </w:r>
            <w:proofErr w:type="gramStart"/>
            <w:r w:rsidR="00E65EA1" w:rsidRPr="00DE5574">
              <w:rPr>
                <w:bCs/>
                <w:sz w:val="28"/>
                <w:szCs w:val="28"/>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D375C6">
              <w:rPr>
                <w:bCs/>
                <w:sz w:val="28"/>
                <w:szCs w:val="28"/>
              </w:rPr>
              <w:t>31</w:t>
            </w:r>
            <w:r w:rsidR="001216F3">
              <w:rPr>
                <w:bCs/>
                <w:sz w:val="28"/>
                <w:szCs w:val="28"/>
              </w:rPr>
              <w:t>.01.2023</w:t>
            </w:r>
            <w:r w:rsidR="00852744" w:rsidRPr="00852744">
              <w:rPr>
                <w:bCs/>
                <w:sz w:val="28"/>
                <w:szCs w:val="28"/>
              </w:rPr>
              <w:t xml:space="preserve"> г. в 14.</w:t>
            </w:r>
            <w:r w:rsidR="004336B5">
              <w:rPr>
                <w:bCs/>
                <w:sz w:val="28"/>
                <w:szCs w:val="28"/>
              </w:rPr>
              <w:t>1</w:t>
            </w:r>
            <w:bookmarkStart w:id="1" w:name="_GoBack"/>
            <w:bookmarkEnd w:id="1"/>
            <w:r w:rsidR="00852744" w:rsidRPr="00852744">
              <w:rPr>
                <w:bCs/>
                <w:sz w:val="28"/>
                <w:szCs w:val="28"/>
              </w:rPr>
              <w:t>0 час</w:t>
            </w:r>
            <w:proofErr w:type="gramStart"/>
            <w:r w:rsidR="00852744" w:rsidRPr="00852744">
              <w:rPr>
                <w:bCs/>
                <w:sz w:val="28"/>
                <w:szCs w:val="28"/>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E7" w:rsidRDefault="00CC79E7">
      <w:r>
        <w:separator/>
      </w:r>
    </w:p>
  </w:endnote>
  <w:endnote w:type="continuationSeparator" w:id="0">
    <w:p w:rsidR="00CC79E7" w:rsidRDefault="00CC7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DC4F38"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E7" w:rsidRDefault="00CC79E7">
      <w:r>
        <w:separator/>
      </w:r>
    </w:p>
  </w:footnote>
  <w:footnote w:type="continuationSeparator" w:id="0">
    <w:p w:rsidR="00CC79E7" w:rsidRDefault="00CC7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DC4F38"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DC4F38"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D375C6">
      <w:rPr>
        <w:rStyle w:val="a7"/>
        <w:noProof/>
      </w:rPr>
      <w:t>3</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5E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C79E7"/>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375C6"/>
    <w:rsid w:val="00D41F37"/>
    <w:rsid w:val="00D42279"/>
    <w:rsid w:val="00D4252F"/>
    <w:rsid w:val="00D428B6"/>
    <w:rsid w:val="00D435BD"/>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4F38"/>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E883-4BBD-4DFF-9F62-110BDCCA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10</cp:revision>
  <cp:lastPrinted>2022-12-27T05:31:00Z</cp:lastPrinted>
  <dcterms:created xsi:type="dcterms:W3CDTF">2022-12-27T05:23:00Z</dcterms:created>
  <dcterms:modified xsi:type="dcterms:W3CDTF">2023-01-20T08:35:00Z</dcterms:modified>
</cp:coreProperties>
</file>